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03BD" w14:textId="2440BA63" w:rsidR="00CE1F47" w:rsidRDefault="00247B4B" w:rsidP="00F16BE0">
      <w:pPr>
        <w:jc w:val="center"/>
      </w:pPr>
      <w:r>
        <w:rPr>
          <w:noProof/>
        </w:rPr>
        <w:drawing>
          <wp:inline distT="0" distB="0" distL="0" distR="0" wp14:anchorId="71C05306" wp14:editId="50EEA1A8">
            <wp:extent cx="1522071" cy="1258909"/>
            <wp:effectExtent l="0" t="0" r="2540" b="0"/>
            <wp:docPr id="2076281010" name="Picture 1" descr="A logo for a conven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81010" name="Picture 1" descr="A logo for a conven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63" cy="12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5E2A6" w14:textId="77777777" w:rsidR="00F16BE0" w:rsidRDefault="00F16BE0" w:rsidP="00F16BE0">
      <w:pPr>
        <w:jc w:val="center"/>
      </w:pPr>
    </w:p>
    <w:p w14:paraId="05EEB310" w14:textId="1C8FC8DE" w:rsidR="00AB2FC2" w:rsidRPr="00AB2FC2" w:rsidRDefault="00AB2FC2" w:rsidP="00AB2FC2">
      <w:pPr>
        <w:pStyle w:val="Title"/>
        <w:jc w:val="center"/>
        <w:rPr>
          <w:b/>
          <w:bCs/>
          <w:sz w:val="32"/>
          <w:szCs w:val="32"/>
        </w:rPr>
      </w:pPr>
      <w:r w:rsidRPr="00AB2FC2">
        <w:rPr>
          <w:b/>
          <w:bCs/>
          <w:sz w:val="32"/>
          <w:szCs w:val="32"/>
        </w:rPr>
        <w:t>Technical Highlights from the 202</w:t>
      </w:r>
      <w:r>
        <w:rPr>
          <w:b/>
          <w:bCs/>
          <w:sz w:val="32"/>
          <w:szCs w:val="32"/>
          <w:lang w:eastAsia="ja-JP"/>
        </w:rPr>
        <w:t>4</w:t>
      </w:r>
      <w:r w:rsidRPr="00AB2FC2">
        <w:rPr>
          <w:b/>
          <w:bCs/>
          <w:sz w:val="32"/>
          <w:szCs w:val="32"/>
          <w:lang w:eastAsia="ja-JP"/>
        </w:rPr>
        <w:t xml:space="preserve"> </w:t>
      </w:r>
      <w:r w:rsidRPr="00AB2FC2">
        <w:rPr>
          <w:b/>
          <w:bCs/>
          <w:sz w:val="32"/>
          <w:szCs w:val="32"/>
        </w:rPr>
        <w:t>Symposium</w:t>
      </w:r>
      <w:r w:rsidRPr="00AB2FC2">
        <w:rPr>
          <w:b/>
          <w:bCs/>
          <w:sz w:val="32"/>
          <w:szCs w:val="32"/>
        </w:rPr>
        <w:br/>
        <w:t>on VLSI Technology and Circuits</w:t>
      </w:r>
    </w:p>
    <w:p w14:paraId="31582F80" w14:textId="77777777" w:rsidR="00AB2FC2" w:rsidRPr="00223E96" w:rsidRDefault="00AB2FC2" w:rsidP="00AB2FC2">
      <w:pPr>
        <w:rPr>
          <w:b/>
        </w:rPr>
      </w:pPr>
    </w:p>
    <w:p w14:paraId="2F193709" w14:textId="7263614F" w:rsidR="00052634" w:rsidRDefault="00052634" w:rsidP="00734C86">
      <w:pPr>
        <w:rPr>
          <w:color w:val="03234B" w:themeColor="text1"/>
        </w:rPr>
      </w:pPr>
      <w:r w:rsidRPr="009128CC">
        <w:rPr>
          <w:color w:val="03234B" w:themeColor="text1"/>
        </w:rPr>
        <w:t>The 202</w:t>
      </w:r>
      <w:r w:rsidRPr="009128CC">
        <w:rPr>
          <w:color w:val="03234B" w:themeColor="text1"/>
          <w:lang w:eastAsia="ja-JP"/>
        </w:rPr>
        <w:t>4</w:t>
      </w:r>
      <w:r w:rsidRPr="009128CC">
        <w:rPr>
          <w:color w:val="03234B" w:themeColor="text1"/>
        </w:rPr>
        <w:t xml:space="preserve"> IEEE Symposium on VLSI Technology and Circuits is a premier international conference </w:t>
      </w:r>
      <w:r w:rsidR="00507845" w:rsidRPr="009128CC">
        <w:rPr>
          <w:color w:val="03234B" w:themeColor="text1"/>
        </w:rPr>
        <w:t xml:space="preserve">scheduled </w:t>
      </w:r>
      <w:r w:rsidR="003319E4" w:rsidRPr="009128CC">
        <w:rPr>
          <w:color w:val="03234B" w:themeColor="text1"/>
        </w:rPr>
        <w:t>for</w:t>
      </w:r>
      <w:r w:rsidR="00507845" w:rsidRPr="009128CC">
        <w:rPr>
          <w:color w:val="03234B" w:themeColor="text1"/>
        </w:rPr>
        <w:t xml:space="preserve"> June 16-20, 2024, </w:t>
      </w:r>
      <w:r w:rsidRPr="009128CC">
        <w:rPr>
          <w:color w:val="03234B" w:themeColor="text1"/>
        </w:rPr>
        <w:t xml:space="preserve">that records the pace, progress, and evolution of micro/nanoelectronics. The joint </w:t>
      </w:r>
      <w:r w:rsidR="00EE4039" w:rsidRPr="009128CC">
        <w:rPr>
          <w:color w:val="03234B" w:themeColor="text1"/>
        </w:rPr>
        <w:t>technology and circuits s</w:t>
      </w:r>
      <w:r w:rsidRPr="009128CC">
        <w:rPr>
          <w:color w:val="03234B" w:themeColor="text1"/>
        </w:rPr>
        <w:t>ymposium will be held in person in Hawaii in the Hilton Hawaiian Village to enable networking opportunities</w:t>
      </w:r>
      <w:r w:rsidR="00AA1F4B" w:rsidRPr="009128CC">
        <w:rPr>
          <w:color w:val="03234B" w:themeColor="text1"/>
        </w:rPr>
        <w:t>.</w:t>
      </w:r>
      <w:r w:rsidRPr="009128CC">
        <w:rPr>
          <w:color w:val="03234B" w:themeColor="text1"/>
        </w:rPr>
        <w:t xml:space="preserve"> </w:t>
      </w:r>
    </w:p>
    <w:p w14:paraId="788C0A84" w14:textId="77777777" w:rsidR="009128CC" w:rsidRPr="009128CC" w:rsidRDefault="009128CC" w:rsidP="00734C86">
      <w:pPr>
        <w:rPr>
          <w:color w:val="03234B" w:themeColor="text1"/>
        </w:rPr>
      </w:pPr>
    </w:p>
    <w:p w14:paraId="2B7AC21F" w14:textId="458B07DE" w:rsidR="00052634" w:rsidRPr="009128CC" w:rsidRDefault="00052634" w:rsidP="00734C86">
      <w:pPr>
        <w:rPr>
          <w:color w:val="03234B" w:themeColor="text1"/>
        </w:rPr>
      </w:pPr>
      <w:r w:rsidRPr="009128CC">
        <w:rPr>
          <w:color w:val="03234B" w:themeColor="text1"/>
        </w:rPr>
        <w:t xml:space="preserve">The Symposium’s overall theme, </w:t>
      </w:r>
      <w:r w:rsidRPr="009128CC">
        <w:rPr>
          <w:b/>
          <w:color w:val="03234B" w:themeColor="text1"/>
        </w:rPr>
        <w:t>“</w:t>
      </w:r>
      <w:r w:rsidR="003A49AF" w:rsidRPr="009128CC">
        <w:rPr>
          <w:b/>
          <w:bCs/>
          <w:color w:val="03234B" w:themeColor="text1"/>
        </w:rPr>
        <w:t>Bridging the Digital &amp; Physical Worlds with Efficiency &amp; Intelligence</w:t>
      </w:r>
      <w:r w:rsidR="009128CC">
        <w:rPr>
          <w:b/>
          <w:bCs/>
          <w:color w:val="03234B" w:themeColor="text1"/>
        </w:rPr>
        <w:t>,</w:t>
      </w:r>
      <w:r w:rsidRPr="009128CC">
        <w:rPr>
          <w:b/>
          <w:color w:val="03234B" w:themeColor="text1"/>
        </w:rPr>
        <w:t xml:space="preserve">” </w:t>
      </w:r>
      <w:r w:rsidRPr="009128CC">
        <w:rPr>
          <w:color w:val="03234B" w:themeColor="text1"/>
        </w:rPr>
        <w:t>integrates advanced technology developments, innovative circuit design, and the applications that they enable</w:t>
      </w:r>
      <w:r w:rsidR="00507845" w:rsidRPr="009128CC">
        <w:rPr>
          <w:color w:val="03234B" w:themeColor="text1"/>
        </w:rPr>
        <w:t>,</w:t>
      </w:r>
      <w:r w:rsidRPr="009128CC">
        <w:rPr>
          <w:color w:val="03234B" w:themeColor="text1"/>
        </w:rPr>
        <w:t xml:space="preserve"> as part of our global society’s transition to a new era of </w:t>
      </w:r>
      <w:r w:rsidR="00EE4039" w:rsidRPr="009128CC">
        <w:rPr>
          <w:color w:val="03234B" w:themeColor="text1"/>
        </w:rPr>
        <w:t>intelligent</w:t>
      </w:r>
      <w:r w:rsidRPr="009128CC">
        <w:rPr>
          <w:color w:val="03234B" w:themeColor="text1"/>
        </w:rPr>
        <w:t xml:space="preserve"> connected devices, </w:t>
      </w:r>
      <w:r w:rsidR="00EE4039" w:rsidRPr="009128CC">
        <w:rPr>
          <w:color w:val="03234B" w:themeColor="text1"/>
        </w:rPr>
        <w:t xml:space="preserve">energy efficient </w:t>
      </w:r>
      <w:r w:rsidRPr="009128CC">
        <w:rPr>
          <w:color w:val="03234B" w:themeColor="text1"/>
        </w:rPr>
        <w:t xml:space="preserve">infrastructure and </w:t>
      </w:r>
      <w:r w:rsidR="00EE4039" w:rsidRPr="009128CC">
        <w:rPr>
          <w:color w:val="03234B" w:themeColor="text1"/>
        </w:rPr>
        <w:t xml:space="preserve">AI enabled hardware </w:t>
      </w:r>
      <w:r w:rsidRPr="009128CC">
        <w:rPr>
          <w:color w:val="03234B" w:themeColor="text1"/>
        </w:rPr>
        <w:t xml:space="preserve">systems that change the way humans interact with each other. </w:t>
      </w:r>
    </w:p>
    <w:p w14:paraId="125FF4B8" w14:textId="77777777" w:rsidR="00EE4039" w:rsidRPr="009128CC" w:rsidRDefault="00EE4039" w:rsidP="00734C86">
      <w:pPr>
        <w:rPr>
          <w:color w:val="03234B" w:themeColor="text1"/>
        </w:rPr>
      </w:pPr>
    </w:p>
    <w:p w14:paraId="14E36021" w14:textId="3A76928A" w:rsidR="001005C3" w:rsidRPr="009128CC" w:rsidRDefault="00052634" w:rsidP="00734C86">
      <w:pPr>
        <w:pStyle w:val="Heading2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128CC">
        <w:rPr>
          <w:rFonts w:asciiTheme="minorHAnsi" w:hAnsiTheme="minorHAnsi" w:cstheme="minorHAnsi"/>
          <w:sz w:val="22"/>
          <w:szCs w:val="22"/>
        </w:rPr>
        <w:t>The following are some of the highlighted papers that address this theme</w:t>
      </w:r>
      <w:r w:rsidR="001005C3" w:rsidRPr="009128CC">
        <w:rPr>
          <w:rFonts w:asciiTheme="minorHAnsi" w:hAnsiTheme="minorHAnsi" w:cstheme="minorHAnsi"/>
          <w:sz w:val="22"/>
          <w:szCs w:val="22"/>
        </w:rPr>
        <w:t>.</w:t>
      </w:r>
    </w:p>
    <w:p w14:paraId="35CDB403" w14:textId="28C7D281" w:rsidR="00435ADE" w:rsidRPr="00F71E58" w:rsidRDefault="00435ADE" w:rsidP="00435ADE">
      <w:pPr>
        <w:pStyle w:val="Heading2"/>
        <w:rPr>
          <w:b/>
          <w:bCs/>
          <w:sz w:val="32"/>
          <w:szCs w:val="32"/>
        </w:rPr>
      </w:pPr>
      <w:r w:rsidRPr="00F71E58">
        <w:rPr>
          <w:b/>
          <w:bCs/>
          <w:sz w:val="32"/>
          <w:szCs w:val="32"/>
        </w:rPr>
        <w:t>Technology Highlights</w:t>
      </w:r>
    </w:p>
    <w:p w14:paraId="4D07766C" w14:textId="77777777" w:rsidR="00435ADE" w:rsidRPr="00F71E58" w:rsidRDefault="00435ADE" w:rsidP="00435ADE">
      <w:pPr>
        <w:pStyle w:val="Heading3"/>
        <w:rPr>
          <w:b/>
          <w:bCs/>
          <w:sz w:val="24"/>
          <w:szCs w:val="24"/>
        </w:rPr>
      </w:pPr>
      <w:r w:rsidRPr="00F71E58">
        <w:rPr>
          <w:b/>
          <w:bCs/>
          <w:sz w:val="24"/>
          <w:szCs w:val="24"/>
        </w:rPr>
        <w:t>Advanced CMOS Technology</w:t>
      </w:r>
    </w:p>
    <w:p w14:paraId="12C65C55" w14:textId="78239D8F" w:rsidR="00B6228A" w:rsidRPr="005B752F" w:rsidRDefault="00090050" w:rsidP="00734C86">
      <w:pPr>
        <w:rPr>
          <w:i/>
          <w:iCs/>
        </w:rPr>
      </w:pPr>
      <w:r w:rsidRPr="005B752F">
        <w:rPr>
          <w:i/>
          <w:iCs/>
        </w:rPr>
        <w:t xml:space="preserve">“An Intel 3 Advanced FinFET Platform Technology for High Performance Computing and SOC Product Applications” </w:t>
      </w:r>
      <w:r w:rsidR="00F37B0D" w:rsidRPr="005B752F">
        <w:rPr>
          <w:i/>
          <w:iCs/>
        </w:rPr>
        <w:t>–</w:t>
      </w:r>
      <w:r w:rsidRPr="005B752F">
        <w:rPr>
          <w:i/>
          <w:iCs/>
        </w:rPr>
        <w:t xml:space="preserve"> Intel</w:t>
      </w:r>
      <w:r w:rsidR="00F37B0D" w:rsidRPr="005B752F">
        <w:rPr>
          <w:i/>
          <w:iCs/>
        </w:rPr>
        <w:t xml:space="preserve"> Corporation (</w:t>
      </w:r>
      <w:r w:rsidR="00AB334A" w:rsidRPr="005B752F">
        <w:rPr>
          <w:i/>
          <w:iCs/>
        </w:rPr>
        <w:t>Highlight Session</w:t>
      </w:r>
      <w:r w:rsidR="00B50DD9">
        <w:rPr>
          <w:i/>
          <w:iCs/>
        </w:rPr>
        <w:t xml:space="preserve"> – Paper T1.1</w:t>
      </w:r>
      <w:r w:rsidR="00AB334A" w:rsidRPr="005B752F">
        <w:rPr>
          <w:i/>
          <w:iCs/>
        </w:rPr>
        <w:t>)</w:t>
      </w:r>
    </w:p>
    <w:p w14:paraId="4B952DF2" w14:textId="77777777" w:rsidR="00435ADE" w:rsidRPr="00560445" w:rsidRDefault="00435ADE" w:rsidP="00734C86"/>
    <w:p w14:paraId="3783B96C" w14:textId="7A02F32B" w:rsidR="007E2154" w:rsidRDefault="009271CB" w:rsidP="00734C86">
      <w:r>
        <w:t xml:space="preserve">This paper presents </w:t>
      </w:r>
      <w:r w:rsidR="007E2154">
        <w:t xml:space="preserve">Intel 3 </w:t>
      </w:r>
      <w:proofErr w:type="spellStart"/>
      <w:r w:rsidR="007E2154">
        <w:t>FinFET</w:t>
      </w:r>
      <w:proofErr w:type="spellEnd"/>
      <w:r w:rsidR="007E2154">
        <w:t xml:space="preserve"> technology </w:t>
      </w:r>
      <w:r w:rsidR="00CD25B9">
        <w:t>fully</w:t>
      </w:r>
      <w:r w:rsidR="007E2154">
        <w:t xml:space="preserve"> optimized</w:t>
      </w:r>
      <w:r w:rsidR="00734C86">
        <w:t>,</w:t>
      </w:r>
      <w:r w:rsidR="00CD25B9">
        <w:t xml:space="preserve"> </w:t>
      </w:r>
      <w:r w:rsidR="007E2154">
        <w:t>provid</w:t>
      </w:r>
      <w:r w:rsidR="00CD25B9">
        <w:t>ing</w:t>
      </w:r>
      <w:r w:rsidR="007E2154">
        <w:t xml:space="preserve"> 10% logic </w:t>
      </w:r>
      <w:r w:rsidR="00CA5E6B">
        <w:t>scaling, performance</w:t>
      </w:r>
      <w:r w:rsidR="007E2154">
        <w:t xml:space="preserve"> </w:t>
      </w:r>
      <w:r w:rsidR="00D061E4">
        <w:t xml:space="preserve">and reliability </w:t>
      </w:r>
      <w:r w:rsidR="007E2154">
        <w:t xml:space="preserve">improvement compared to Intel 4. Through transistor enhancements, interconnect optimization, and design co-optimizations, up to 18% </w:t>
      </w:r>
      <w:r w:rsidR="003319E4">
        <w:t xml:space="preserve">iso-power </w:t>
      </w:r>
      <w:r w:rsidR="007E2154">
        <w:t>performance gain is achieved over Intel 4. Intel 3 additionally enables a 210</w:t>
      </w:r>
      <w:r w:rsidR="00FF12BA">
        <w:t>-</w:t>
      </w:r>
      <w:r w:rsidR="007E2154">
        <w:t>nm high-density standard cell, 1.2</w:t>
      </w:r>
      <w:r w:rsidR="00FF12BA">
        <w:t>-</w:t>
      </w:r>
      <w:r w:rsidR="007E2154">
        <w:t>V-native I/O transistors, deep N-well isolation, and long-channel analog devices to provide full-featured technology design capabilities.</w:t>
      </w:r>
    </w:p>
    <w:p w14:paraId="33778C91" w14:textId="77777777" w:rsidR="00CA5E6B" w:rsidRPr="001E73D1" w:rsidRDefault="00CA5E6B" w:rsidP="00CA5E6B">
      <w:pPr>
        <w:jc w:val="both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0087" w14:paraId="0142235B" w14:textId="77777777" w:rsidTr="001E73D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62B8" w14:textId="517ADB17" w:rsidR="00590087" w:rsidRDefault="00590087" w:rsidP="008A4472"/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3DBC0" w14:textId="7133E336" w:rsidR="00590087" w:rsidRDefault="00590087" w:rsidP="001E73D1">
            <w:pPr>
              <w:jc w:val="center"/>
            </w:pPr>
          </w:p>
        </w:tc>
      </w:tr>
    </w:tbl>
    <w:p w14:paraId="05A1045F" w14:textId="77777777" w:rsidR="00D96B74" w:rsidRPr="00F71E58" w:rsidRDefault="00D96B74" w:rsidP="00D96B74">
      <w:pPr>
        <w:pStyle w:val="Heading3"/>
        <w:rPr>
          <w:b/>
          <w:bCs/>
          <w:sz w:val="24"/>
          <w:szCs w:val="24"/>
        </w:rPr>
      </w:pPr>
      <w:r w:rsidRPr="00F71E58">
        <w:rPr>
          <w:b/>
          <w:bCs/>
          <w:sz w:val="24"/>
          <w:szCs w:val="24"/>
        </w:rPr>
        <w:t>Advanced CMOS Technology</w:t>
      </w:r>
    </w:p>
    <w:p w14:paraId="0D3158D4" w14:textId="4153276B" w:rsidR="00D96B74" w:rsidRPr="005B752F" w:rsidRDefault="00D96B74" w:rsidP="006C1372">
      <w:pPr>
        <w:rPr>
          <w:i/>
          <w:iCs/>
        </w:rPr>
      </w:pPr>
      <w:r w:rsidRPr="005B752F">
        <w:rPr>
          <w:i/>
          <w:iCs/>
        </w:rPr>
        <w:t>“</w:t>
      </w:r>
      <w:r w:rsidRPr="003319E4">
        <w:rPr>
          <w:i/>
          <w:iCs/>
        </w:rPr>
        <w:t xml:space="preserve">Highly </w:t>
      </w:r>
      <w:r w:rsidR="00EA1E34">
        <w:rPr>
          <w:i/>
          <w:iCs/>
        </w:rPr>
        <w:t>M</w:t>
      </w:r>
      <w:r w:rsidR="00EA1E34" w:rsidRPr="003319E4">
        <w:rPr>
          <w:i/>
          <w:iCs/>
        </w:rPr>
        <w:t xml:space="preserve">anufacturable </w:t>
      </w:r>
      <w:r w:rsidRPr="003319E4">
        <w:rPr>
          <w:i/>
          <w:iCs/>
          <w:u w:val="single"/>
        </w:rPr>
        <w:t>S</w:t>
      </w:r>
      <w:r w:rsidRPr="003319E4">
        <w:rPr>
          <w:i/>
          <w:iCs/>
        </w:rPr>
        <w:t>elf-</w:t>
      </w:r>
      <w:r w:rsidRPr="003319E4">
        <w:rPr>
          <w:i/>
          <w:iCs/>
          <w:u w:val="single"/>
        </w:rPr>
        <w:t>A</w:t>
      </w:r>
      <w:r w:rsidR="00FA41B3" w:rsidRPr="003319E4">
        <w:rPr>
          <w:i/>
          <w:iCs/>
        </w:rPr>
        <w:t>l</w:t>
      </w:r>
      <w:r w:rsidRPr="003319E4">
        <w:rPr>
          <w:i/>
          <w:iCs/>
        </w:rPr>
        <w:t xml:space="preserve">igned </w:t>
      </w:r>
      <w:r w:rsidRPr="003319E4">
        <w:rPr>
          <w:i/>
          <w:iCs/>
          <w:u w:val="single"/>
        </w:rPr>
        <w:t>D</w:t>
      </w:r>
      <w:r w:rsidRPr="003319E4">
        <w:rPr>
          <w:i/>
          <w:iCs/>
        </w:rPr>
        <w:t xml:space="preserve">irect </w:t>
      </w:r>
      <w:r w:rsidRPr="003319E4">
        <w:rPr>
          <w:i/>
          <w:iCs/>
          <w:u w:val="single"/>
        </w:rPr>
        <w:t>B</w:t>
      </w:r>
      <w:r w:rsidRPr="003319E4">
        <w:rPr>
          <w:i/>
          <w:iCs/>
        </w:rPr>
        <w:t xml:space="preserve">ackside </w:t>
      </w:r>
      <w:r w:rsidRPr="003319E4">
        <w:rPr>
          <w:i/>
          <w:iCs/>
          <w:u w:val="single"/>
        </w:rPr>
        <w:t>C</w:t>
      </w:r>
      <w:r w:rsidRPr="003319E4">
        <w:rPr>
          <w:i/>
          <w:iCs/>
        </w:rPr>
        <w:t xml:space="preserve">ontact (SA-DBC) and </w:t>
      </w:r>
      <w:r w:rsidRPr="003319E4">
        <w:rPr>
          <w:i/>
          <w:iCs/>
          <w:u w:val="single"/>
        </w:rPr>
        <w:t>B</w:t>
      </w:r>
      <w:r w:rsidRPr="003319E4">
        <w:rPr>
          <w:i/>
          <w:iCs/>
        </w:rPr>
        <w:t xml:space="preserve">ackside </w:t>
      </w:r>
      <w:r w:rsidRPr="003319E4">
        <w:rPr>
          <w:i/>
          <w:iCs/>
          <w:u w:val="single"/>
        </w:rPr>
        <w:t>G</w:t>
      </w:r>
      <w:r w:rsidRPr="003319E4">
        <w:rPr>
          <w:i/>
          <w:iCs/>
        </w:rPr>
        <w:t xml:space="preserve">ate </w:t>
      </w:r>
      <w:r w:rsidRPr="003319E4">
        <w:rPr>
          <w:i/>
          <w:iCs/>
          <w:u w:val="single"/>
        </w:rPr>
        <w:t>C</w:t>
      </w:r>
      <w:r w:rsidRPr="003319E4">
        <w:rPr>
          <w:i/>
          <w:iCs/>
        </w:rPr>
        <w:t>ontact (BGC) for 3-</w:t>
      </w:r>
      <w:r w:rsidR="00EA1E34">
        <w:rPr>
          <w:i/>
          <w:iCs/>
        </w:rPr>
        <w:t>D</w:t>
      </w:r>
      <w:r w:rsidRPr="003319E4">
        <w:rPr>
          <w:i/>
          <w:iCs/>
        </w:rPr>
        <w:t>imensional Stacked FET at 48</w:t>
      </w:r>
      <w:r w:rsidR="00FF12BA">
        <w:rPr>
          <w:i/>
          <w:iCs/>
        </w:rPr>
        <w:t>-</w:t>
      </w:r>
      <w:r w:rsidRPr="003319E4">
        <w:rPr>
          <w:i/>
          <w:iCs/>
        </w:rPr>
        <w:t xml:space="preserve">nm </w:t>
      </w:r>
      <w:r w:rsidR="00EA1E34">
        <w:rPr>
          <w:i/>
          <w:iCs/>
        </w:rPr>
        <w:t>G</w:t>
      </w:r>
      <w:r w:rsidRPr="003319E4">
        <w:rPr>
          <w:i/>
          <w:iCs/>
        </w:rPr>
        <w:t xml:space="preserve">ate </w:t>
      </w:r>
      <w:r w:rsidR="00EA1E34">
        <w:rPr>
          <w:i/>
          <w:iCs/>
        </w:rPr>
        <w:t>P</w:t>
      </w:r>
      <w:r w:rsidRPr="003319E4">
        <w:rPr>
          <w:i/>
          <w:iCs/>
        </w:rPr>
        <w:t>itch</w:t>
      </w:r>
      <w:r w:rsidRPr="005B752F">
        <w:rPr>
          <w:i/>
          <w:iCs/>
        </w:rPr>
        <w:t xml:space="preserve">” </w:t>
      </w:r>
      <w:r w:rsidRPr="005B752F">
        <w:t xml:space="preserve">– </w:t>
      </w:r>
      <w:r w:rsidR="00915895" w:rsidRPr="003319E4">
        <w:rPr>
          <w:i/>
          <w:iCs/>
        </w:rPr>
        <w:t xml:space="preserve">Samsung Electronics </w:t>
      </w:r>
      <w:r w:rsidRPr="005B752F">
        <w:rPr>
          <w:i/>
          <w:iCs/>
        </w:rPr>
        <w:t>(Highlight Session</w:t>
      </w:r>
      <w:r w:rsidR="003851AE">
        <w:rPr>
          <w:i/>
          <w:iCs/>
        </w:rPr>
        <w:t xml:space="preserve"> – Paper T1.2</w:t>
      </w:r>
      <w:r w:rsidRPr="005B752F">
        <w:rPr>
          <w:i/>
          <w:iCs/>
        </w:rPr>
        <w:t>)</w:t>
      </w:r>
    </w:p>
    <w:p w14:paraId="51A612EF" w14:textId="0671552F" w:rsidR="00435ADE" w:rsidRDefault="00435ADE" w:rsidP="00CA5E6B">
      <w:pPr>
        <w:jc w:val="both"/>
      </w:pPr>
    </w:p>
    <w:p w14:paraId="15A5B75F" w14:textId="2D7563F5" w:rsidR="00D96B74" w:rsidRDefault="00DF2387" w:rsidP="006C1372">
      <w:r>
        <w:t xml:space="preserve">In this study, </w:t>
      </w:r>
      <w:r w:rsidR="00220CA2">
        <w:t>Samsung Electronics</w:t>
      </w:r>
      <w:r>
        <w:t xml:space="preserve"> demonstrate</w:t>
      </w:r>
      <w:r w:rsidR="00BE5709">
        <w:t>s</w:t>
      </w:r>
      <w:r>
        <w:t xml:space="preserve"> 3-Dimensional Stacked FET (3DSFET) with Self-Aligned Direct Back-side Contact and Back-side Gate Contact in 48</w:t>
      </w:r>
      <w:r w:rsidR="00FF12BA">
        <w:t>-</w:t>
      </w:r>
      <w:r>
        <w:t>nm gate pitch, which is the smallest dimension and the world's first demonstration reported so far. Simultaneous threshold voltage (</w:t>
      </w:r>
      <w:r w:rsidR="003319E4">
        <w:t>V</w:t>
      </w:r>
      <w:r w:rsidR="003319E4" w:rsidRPr="005B752F">
        <w:rPr>
          <w:vertAlign w:val="subscript"/>
        </w:rPr>
        <w:t>T</w:t>
      </w:r>
      <w:r>
        <w:t xml:space="preserve">) targeting for both </w:t>
      </w:r>
      <w:proofErr w:type="spellStart"/>
      <w:r>
        <w:t>n</w:t>
      </w:r>
      <w:r w:rsidR="00107394" w:rsidRPr="00107394">
        <w:t>FET</w:t>
      </w:r>
      <w:proofErr w:type="spellEnd"/>
      <w:r w:rsidR="00107394" w:rsidRPr="00107394">
        <w:t xml:space="preserve"> </w:t>
      </w:r>
      <w:r>
        <w:t xml:space="preserve">and </w:t>
      </w:r>
      <w:proofErr w:type="spellStart"/>
      <w:r>
        <w:t>pFET</w:t>
      </w:r>
      <w:proofErr w:type="spellEnd"/>
      <w:r>
        <w:t xml:space="preserve"> in common gate and </w:t>
      </w:r>
      <w:r w:rsidR="007D7AAD">
        <w:lastRenderedPageBreak/>
        <w:t>N</w:t>
      </w:r>
      <w:r>
        <w:t>/</w:t>
      </w:r>
      <w:r w:rsidR="007D7AAD">
        <w:t>P</w:t>
      </w:r>
      <w:r w:rsidR="00107394">
        <w:t xml:space="preserve"> </w:t>
      </w:r>
      <w:r>
        <w:t xml:space="preserve">connection with vertical common contact were also verified in addition to </w:t>
      </w:r>
      <w:r w:rsidR="00D91CDD">
        <w:t xml:space="preserve">their </w:t>
      </w:r>
      <w:r>
        <w:t xml:space="preserve">previous </w:t>
      </w:r>
      <w:r w:rsidR="007D7AAD">
        <w:t>work</w:t>
      </w:r>
      <w:r>
        <w:t xml:space="preserve">. As a result, </w:t>
      </w:r>
      <w:r w:rsidR="00D91CDD">
        <w:t xml:space="preserve">Samsung </w:t>
      </w:r>
      <w:r w:rsidR="003319E4">
        <w:t xml:space="preserve">Electronics </w:t>
      </w:r>
      <w:r>
        <w:t>believe</w:t>
      </w:r>
      <w:r w:rsidR="00D91CDD">
        <w:t>s</w:t>
      </w:r>
      <w:r>
        <w:t xml:space="preserve"> that </w:t>
      </w:r>
      <w:r w:rsidR="007D7AAD">
        <w:t>most</w:t>
      </w:r>
      <w:r>
        <w:t xml:space="preserve"> of key components for ultimate cell height scaling of 3DSFET </w:t>
      </w:r>
      <w:r w:rsidR="007D7AAD">
        <w:t>have</w:t>
      </w:r>
      <w:r>
        <w:t xml:space="preserve"> been verified to continue the logic technology scaling beyond </w:t>
      </w:r>
      <w:r w:rsidR="003319E4">
        <w:t xml:space="preserve">the </w:t>
      </w:r>
      <w:r>
        <w:t>1</w:t>
      </w:r>
      <w:r w:rsidR="00FF12BA">
        <w:t>-</w:t>
      </w:r>
      <w:r>
        <w:t>nm node</w:t>
      </w:r>
      <w:r w:rsidR="007D7AAD">
        <w:t>.</w:t>
      </w:r>
    </w:p>
    <w:p w14:paraId="55F1E375" w14:textId="77777777" w:rsidR="00D96B74" w:rsidRPr="007D7AAD" w:rsidRDefault="00D96B74" w:rsidP="00CA5E6B">
      <w:pPr>
        <w:jc w:val="both"/>
        <w:rPr>
          <w:sz w:val="8"/>
          <w:szCs w:val="8"/>
        </w:rPr>
      </w:pPr>
    </w:p>
    <w:p w14:paraId="7FF84447" w14:textId="1F32FB1C" w:rsidR="00FA41B3" w:rsidRPr="00F71E58" w:rsidRDefault="00347E0D" w:rsidP="00FA41B3">
      <w:pPr>
        <w:pStyle w:val="Heading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Memory</w:t>
      </w:r>
      <w:r w:rsidR="00FA41B3" w:rsidRPr="00F71E58">
        <w:rPr>
          <w:b/>
          <w:bCs/>
          <w:sz w:val="24"/>
          <w:szCs w:val="24"/>
        </w:rPr>
        <w:t xml:space="preserve"> Technology</w:t>
      </w:r>
    </w:p>
    <w:p w14:paraId="72604DF4" w14:textId="650E2FBB" w:rsidR="00FA41B3" w:rsidRPr="005B752F" w:rsidRDefault="00FA41B3" w:rsidP="00961708">
      <w:pPr>
        <w:rPr>
          <w:i/>
          <w:iCs/>
        </w:rPr>
      </w:pPr>
      <w:r w:rsidRPr="00090050">
        <w:rPr>
          <w:i/>
          <w:iCs/>
          <w:sz w:val="24"/>
          <w:szCs w:val="24"/>
        </w:rPr>
        <w:t>“</w:t>
      </w:r>
      <w:r w:rsidR="00347E0D" w:rsidRPr="00347E0D">
        <w:rPr>
          <w:i/>
          <w:iCs/>
        </w:rPr>
        <w:t xml:space="preserve">A </w:t>
      </w:r>
      <w:r w:rsidR="00EA1E34">
        <w:rPr>
          <w:i/>
          <w:iCs/>
        </w:rPr>
        <w:t>C</w:t>
      </w:r>
      <w:r w:rsidR="00347E0D" w:rsidRPr="00347E0D">
        <w:rPr>
          <w:i/>
          <w:iCs/>
        </w:rPr>
        <w:t xml:space="preserve">onfined </w:t>
      </w:r>
      <w:r w:rsidR="00EA1E34">
        <w:rPr>
          <w:i/>
          <w:iCs/>
        </w:rPr>
        <w:t>S</w:t>
      </w:r>
      <w:r w:rsidR="00347E0D" w:rsidRPr="00347E0D">
        <w:rPr>
          <w:i/>
          <w:iCs/>
        </w:rPr>
        <w:t xml:space="preserve">torage </w:t>
      </w:r>
      <w:r w:rsidR="00EA1E34">
        <w:rPr>
          <w:i/>
          <w:iCs/>
        </w:rPr>
        <w:t>N</w:t>
      </w:r>
      <w:r w:rsidR="00347E0D" w:rsidRPr="00347E0D">
        <w:rPr>
          <w:i/>
          <w:iCs/>
        </w:rPr>
        <w:t xml:space="preserve">itride 3D-NAND </w:t>
      </w:r>
      <w:r w:rsidR="00EA1E34">
        <w:rPr>
          <w:i/>
          <w:iCs/>
        </w:rPr>
        <w:t>C</w:t>
      </w:r>
      <w:r w:rsidR="00347E0D" w:rsidRPr="00347E0D">
        <w:rPr>
          <w:i/>
          <w:iCs/>
        </w:rPr>
        <w:t xml:space="preserve">ell with WL </w:t>
      </w:r>
      <w:r w:rsidR="00EA1E34">
        <w:rPr>
          <w:i/>
          <w:iCs/>
        </w:rPr>
        <w:t>A</w:t>
      </w:r>
      <w:r w:rsidR="00347E0D" w:rsidRPr="00347E0D">
        <w:rPr>
          <w:i/>
          <w:iCs/>
        </w:rPr>
        <w:t xml:space="preserve">irgap for </w:t>
      </w:r>
      <w:r w:rsidR="00EA1E34">
        <w:rPr>
          <w:i/>
          <w:iCs/>
        </w:rPr>
        <w:t>C</w:t>
      </w:r>
      <w:r w:rsidR="00347E0D" w:rsidRPr="00347E0D">
        <w:rPr>
          <w:i/>
          <w:iCs/>
        </w:rPr>
        <w:t xml:space="preserve">ell-to-cell </w:t>
      </w:r>
      <w:r w:rsidR="00EA1E34">
        <w:rPr>
          <w:i/>
          <w:iCs/>
        </w:rPr>
        <w:t>I</w:t>
      </w:r>
      <w:r w:rsidR="00347E0D" w:rsidRPr="00347E0D">
        <w:rPr>
          <w:i/>
          <w:iCs/>
        </w:rPr>
        <w:t xml:space="preserve">nterference </w:t>
      </w:r>
      <w:r w:rsidR="00EA1E34">
        <w:rPr>
          <w:i/>
          <w:iCs/>
        </w:rPr>
        <w:t>R</w:t>
      </w:r>
      <w:r w:rsidR="00347E0D" w:rsidRPr="00347E0D">
        <w:rPr>
          <w:i/>
          <w:iCs/>
        </w:rPr>
        <w:t>eduction and</w:t>
      </w:r>
      <w:r w:rsidR="00EA1E34">
        <w:rPr>
          <w:i/>
          <w:iCs/>
        </w:rPr>
        <w:t xml:space="preserve"> I</w:t>
      </w:r>
      <w:r w:rsidR="00347E0D" w:rsidRPr="00347E0D">
        <w:rPr>
          <w:i/>
          <w:iCs/>
        </w:rPr>
        <w:t xml:space="preserve">mproved </w:t>
      </w:r>
      <w:r w:rsidR="00EA1E34">
        <w:rPr>
          <w:i/>
          <w:iCs/>
        </w:rPr>
        <w:t>P</w:t>
      </w:r>
      <w:r w:rsidR="00347E0D" w:rsidRPr="00347E0D">
        <w:rPr>
          <w:i/>
          <w:iCs/>
        </w:rPr>
        <w:t xml:space="preserve">rogram </w:t>
      </w:r>
      <w:r w:rsidR="00EA1E34">
        <w:rPr>
          <w:i/>
          <w:iCs/>
        </w:rPr>
        <w:t>P</w:t>
      </w:r>
      <w:r w:rsidR="00347E0D" w:rsidRPr="00347E0D">
        <w:rPr>
          <w:i/>
          <w:iCs/>
        </w:rPr>
        <w:t>erformances</w:t>
      </w:r>
      <w:r w:rsidRPr="005B752F">
        <w:rPr>
          <w:i/>
          <w:iCs/>
        </w:rPr>
        <w:t xml:space="preserve">” </w:t>
      </w:r>
      <w:r w:rsidRPr="005B752F">
        <w:t xml:space="preserve">– </w:t>
      </w:r>
      <w:r w:rsidR="00EA637F" w:rsidRPr="003319E4">
        <w:rPr>
          <w:i/>
          <w:iCs/>
        </w:rPr>
        <w:t>Micron Technology Inc.</w:t>
      </w:r>
      <w:r w:rsidR="00EA637F" w:rsidRPr="005B752F">
        <w:rPr>
          <w:i/>
          <w:iCs/>
        </w:rPr>
        <w:t xml:space="preserve"> </w:t>
      </w:r>
      <w:r w:rsidRPr="005B752F">
        <w:rPr>
          <w:i/>
          <w:iCs/>
        </w:rPr>
        <w:t>(Highlight Session</w:t>
      </w:r>
      <w:r w:rsidR="003851AE">
        <w:rPr>
          <w:i/>
          <w:iCs/>
        </w:rPr>
        <w:t xml:space="preserve"> – Paper T1.3</w:t>
      </w:r>
      <w:r w:rsidRPr="005B752F">
        <w:rPr>
          <w:i/>
          <w:iCs/>
        </w:rPr>
        <w:t>)</w:t>
      </w:r>
    </w:p>
    <w:p w14:paraId="739B74B6" w14:textId="77777777" w:rsidR="00FA41B3" w:rsidRDefault="00FA41B3" w:rsidP="00961708"/>
    <w:p w14:paraId="2DD959B0" w14:textId="7D4796B3" w:rsidR="00FA41B3" w:rsidRDefault="00A07AA2" w:rsidP="00961708">
      <w:r>
        <w:t>In this paper, Micro</w:t>
      </w:r>
      <w:r w:rsidR="00FF12BA">
        <w:t>n</w:t>
      </w:r>
      <w:r w:rsidR="00724D55">
        <w:t xml:space="preserve"> demonstrate</w:t>
      </w:r>
      <w:r w:rsidR="00BE5709">
        <w:t>s</w:t>
      </w:r>
      <w:r w:rsidR="00724D55">
        <w:t xml:space="preserve"> a confined </w:t>
      </w:r>
      <w:r w:rsidRPr="00A07AA2">
        <w:rPr>
          <w:u w:val="single"/>
        </w:rPr>
        <w:t>S</w:t>
      </w:r>
      <w:r w:rsidR="00724D55">
        <w:t xml:space="preserve">torage </w:t>
      </w:r>
      <w:r w:rsidRPr="00A07AA2">
        <w:rPr>
          <w:u w:val="single"/>
        </w:rPr>
        <w:t>N</w:t>
      </w:r>
      <w:r w:rsidR="00724D55">
        <w:t>itride (SN) 3D</w:t>
      </w:r>
      <w:r w:rsidR="00696EDC">
        <w:t>-</w:t>
      </w:r>
      <w:r w:rsidR="00724D55">
        <w:t>NAND cell with an innovative process flow including</w:t>
      </w:r>
      <w:r w:rsidR="003675E9">
        <w:t xml:space="preserve"> Word Line</w:t>
      </w:r>
      <w:r w:rsidR="00724D55">
        <w:t xml:space="preserve"> </w:t>
      </w:r>
      <w:r w:rsidR="003675E9">
        <w:t>(</w:t>
      </w:r>
      <w:r w:rsidR="00724D55">
        <w:t>WL</w:t>
      </w:r>
      <w:r w:rsidR="003675E9">
        <w:t>)</w:t>
      </w:r>
      <w:r w:rsidR="00724D55">
        <w:t xml:space="preserve"> airgap formation. Airgaps strongly reduce</w:t>
      </w:r>
      <w:r w:rsidR="003675E9">
        <w:t>s</w:t>
      </w:r>
      <w:r w:rsidR="00724D55">
        <w:t xml:space="preserve"> WL parasitic capacitance which translates into better program time performances. A complete device characterization</w:t>
      </w:r>
      <w:r w:rsidR="003675E9">
        <w:t xml:space="preserve"> was</w:t>
      </w:r>
      <w:r w:rsidR="00724D55">
        <w:t xml:space="preserve"> carried out on a test memory array. </w:t>
      </w:r>
      <w:r w:rsidR="00696EDC">
        <w:t>The authors</w:t>
      </w:r>
      <w:r w:rsidR="00724D55">
        <w:t xml:space="preserve"> measured substantial cell-to-cell interference improvements and lateral charge loss reduction, which make this cell a key enabler of further tier pitch scaling in future 3D-NAND arrays. Program-erase window limitations due to trapped charge confinement were also addressed by TCAD modeling, showing that window can be recovered by </w:t>
      </w:r>
      <w:r w:rsidR="00A60954">
        <w:t>Storage Nitride</w:t>
      </w:r>
      <w:r w:rsidR="00724D55">
        <w:t xml:space="preserve"> film thickness changes with no</w:t>
      </w:r>
      <w:r w:rsidR="00A60954">
        <w:t xml:space="preserve"> cell-to-cell</w:t>
      </w:r>
      <w:r w:rsidR="00724D55">
        <w:t xml:space="preserve"> penalty</w:t>
      </w:r>
      <w:r w:rsidR="00FA41B3">
        <w:t>.</w:t>
      </w:r>
    </w:p>
    <w:p w14:paraId="06527A40" w14:textId="77777777" w:rsidR="00FA41B3" w:rsidRPr="007D7AAD" w:rsidRDefault="00FA41B3" w:rsidP="00FA41B3">
      <w:pPr>
        <w:jc w:val="both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41B3" w14:paraId="6FACA5ED" w14:textId="77777777" w:rsidTr="00392906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9D67" w14:textId="728DF937" w:rsidR="00FA41B3" w:rsidRDefault="00FA41B3" w:rsidP="00392906">
            <w:pPr>
              <w:jc w:val="center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B3C15" w14:textId="4B9EAEC3" w:rsidR="00FA41B3" w:rsidRDefault="00FA41B3" w:rsidP="00392906">
            <w:pPr>
              <w:jc w:val="center"/>
            </w:pPr>
          </w:p>
        </w:tc>
      </w:tr>
    </w:tbl>
    <w:p w14:paraId="17B48313" w14:textId="77777777" w:rsidR="001005C3" w:rsidRPr="00F71E58" w:rsidRDefault="001005C3" w:rsidP="001005C3">
      <w:pPr>
        <w:pStyle w:val="Heading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Memory</w:t>
      </w:r>
      <w:r w:rsidRPr="00F71E58">
        <w:rPr>
          <w:b/>
          <w:bCs/>
          <w:sz w:val="24"/>
          <w:szCs w:val="24"/>
        </w:rPr>
        <w:t xml:space="preserve"> Technology</w:t>
      </w:r>
    </w:p>
    <w:p w14:paraId="03152003" w14:textId="3E6D52BB" w:rsidR="001005C3" w:rsidRPr="00C70BA5" w:rsidRDefault="001005C3" w:rsidP="001005C3">
      <w:pPr>
        <w:jc w:val="both"/>
        <w:rPr>
          <w:i/>
          <w:iCs/>
          <w:sz w:val="24"/>
          <w:szCs w:val="24"/>
        </w:rPr>
      </w:pPr>
      <w:r w:rsidRPr="00090050">
        <w:rPr>
          <w:i/>
          <w:iCs/>
          <w:sz w:val="24"/>
          <w:szCs w:val="24"/>
        </w:rPr>
        <w:t>“</w:t>
      </w:r>
      <w:r w:rsidRPr="00307F47">
        <w:rPr>
          <w:i/>
          <w:iCs/>
        </w:rPr>
        <w:t>First Demonstration of Fully Integrated 16</w:t>
      </w:r>
      <w:r>
        <w:rPr>
          <w:i/>
          <w:iCs/>
        </w:rPr>
        <w:t>-</w:t>
      </w:r>
      <w:r w:rsidRPr="00307F47">
        <w:rPr>
          <w:i/>
          <w:iCs/>
        </w:rPr>
        <w:t>nm Half-Pitch Selector Only Memory (SOM) for Emerging CXL Memory</w:t>
      </w:r>
      <w:r w:rsidRPr="00090050">
        <w:rPr>
          <w:i/>
          <w:iCs/>
          <w:sz w:val="24"/>
          <w:szCs w:val="24"/>
        </w:rPr>
        <w:t>”</w:t>
      </w:r>
      <w:r>
        <w:rPr>
          <w:i/>
          <w:iCs/>
          <w:sz w:val="24"/>
          <w:szCs w:val="24"/>
        </w:rPr>
        <w:t xml:space="preserve"> </w:t>
      </w:r>
      <w:r w:rsidRPr="00840903">
        <w:rPr>
          <w:i/>
          <w:iCs/>
          <w:sz w:val="24"/>
          <w:szCs w:val="24"/>
        </w:rPr>
        <w:t xml:space="preserve">– </w:t>
      </w:r>
      <w:r w:rsidRPr="00840903">
        <w:rPr>
          <w:i/>
          <w:iCs/>
        </w:rPr>
        <w:t xml:space="preserve">SK </w:t>
      </w:r>
      <w:r>
        <w:rPr>
          <w:i/>
          <w:iCs/>
        </w:rPr>
        <w:t>H</w:t>
      </w:r>
      <w:r w:rsidRPr="00840903">
        <w:rPr>
          <w:i/>
          <w:iCs/>
        </w:rPr>
        <w:t>ynix Inc.</w:t>
      </w:r>
      <w:r>
        <w:rPr>
          <w:i/>
          <w:iCs/>
        </w:rPr>
        <w:t xml:space="preserve"> (Highlight Session – Paper T1.5)</w:t>
      </w:r>
    </w:p>
    <w:p w14:paraId="5C79B7BA" w14:textId="77777777" w:rsidR="001005C3" w:rsidRDefault="001005C3" w:rsidP="001005C3">
      <w:pPr>
        <w:jc w:val="both"/>
      </w:pPr>
    </w:p>
    <w:p w14:paraId="448A53F5" w14:textId="715DCD33" w:rsidR="001005C3" w:rsidRDefault="001005C3" w:rsidP="00961708">
      <w:r>
        <w:t xml:space="preserve">SK Hynix conducts a study to fully understand the switching mechanisms of </w:t>
      </w:r>
      <w:r w:rsidRPr="00C15097">
        <w:rPr>
          <w:u w:val="single"/>
        </w:rPr>
        <w:t>S</w:t>
      </w:r>
      <w:r>
        <w:t xml:space="preserve">elector </w:t>
      </w:r>
      <w:r w:rsidRPr="00C15097">
        <w:rPr>
          <w:u w:val="single"/>
        </w:rPr>
        <w:t>O</w:t>
      </w:r>
      <w:r>
        <w:t xml:space="preserve">nly </w:t>
      </w:r>
      <w:r w:rsidRPr="00C15097">
        <w:rPr>
          <w:u w:val="single"/>
        </w:rPr>
        <w:t>M</w:t>
      </w:r>
      <w:r>
        <w:t>emory (SOM). This work led to implementation of TCAD and the development of both advanced materials and processes based on the optimized core circuit design and write-read scheme in the first fully integrated 16-nm half-pitch SOM for emerging Compute Express Link</w:t>
      </w:r>
      <w:r w:rsidRPr="00BD15EF">
        <w:rPr>
          <w:vertAlign w:val="superscript"/>
        </w:rPr>
        <w:t>™</w:t>
      </w:r>
      <w:r>
        <w:t xml:space="preserve"> (CXL) memory. SK Hynix achieves 750-mV read window margin including product-level raw bit error rate and reliability figures such as drift-related persistency, read disturbance, high temperature data retention (&gt;10 years </w:t>
      </w:r>
      <w:r w:rsidRPr="005B752F">
        <w:rPr>
          <w:rFonts w:asciiTheme="minorHAnsi" w:hAnsiTheme="minorHAnsi" w:cstheme="minorHAnsi"/>
        </w:rPr>
        <w:t>at 125</w:t>
      </w:r>
      <w:r w:rsidRPr="00A917BA">
        <w:rPr>
          <w:rFonts w:asciiTheme="minorHAnsi" w:hAnsiTheme="minorHAnsi" w:cstheme="minorHAnsi"/>
        </w:rPr>
        <w:t xml:space="preserve"> </w:t>
      </w:r>
      <w:r w:rsidRPr="005B752F">
        <w:t>°C</w:t>
      </w:r>
      <w:r w:rsidRPr="005B752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  <w:r>
        <w:t xml:space="preserve"> and cycle endurance for 200 ppm raw bit error rate.</w:t>
      </w:r>
    </w:p>
    <w:p w14:paraId="09C3B260" w14:textId="77777777" w:rsidR="001005C3" w:rsidRPr="007D7AAD" w:rsidRDefault="001005C3" w:rsidP="001005C3">
      <w:pPr>
        <w:jc w:val="both"/>
        <w:rPr>
          <w:sz w:val="8"/>
          <w:szCs w:val="8"/>
        </w:rPr>
      </w:pPr>
    </w:p>
    <w:p w14:paraId="0F2B9DD0" w14:textId="77777777" w:rsidR="001005C3" w:rsidRPr="00F71E58" w:rsidRDefault="001005C3" w:rsidP="001005C3">
      <w:pPr>
        <w:pStyle w:val="Heading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Memory</w:t>
      </w:r>
      <w:r w:rsidRPr="00F71E58">
        <w:rPr>
          <w:b/>
          <w:bCs/>
          <w:sz w:val="24"/>
          <w:szCs w:val="24"/>
        </w:rPr>
        <w:t xml:space="preserve"> Technology</w:t>
      </w:r>
    </w:p>
    <w:p w14:paraId="1751E3B2" w14:textId="6C9DF9A1" w:rsidR="001005C3" w:rsidRPr="005B752F" w:rsidRDefault="001005C3" w:rsidP="00961708">
      <w:pPr>
        <w:rPr>
          <w:i/>
          <w:iCs/>
        </w:rPr>
      </w:pPr>
      <w:r w:rsidRPr="005B752F">
        <w:rPr>
          <w:i/>
          <w:iCs/>
        </w:rPr>
        <w:t>“</w:t>
      </w:r>
      <w:r w:rsidRPr="00A917BA">
        <w:rPr>
          <w:i/>
          <w:iCs/>
        </w:rPr>
        <w:t>4F</w:t>
      </w:r>
      <w:r w:rsidRPr="005B752F">
        <w:rPr>
          <w:i/>
          <w:iCs/>
          <w:vertAlign w:val="superscript"/>
        </w:rPr>
        <w:t>2</w:t>
      </w:r>
      <w:r w:rsidRPr="00A917BA">
        <w:rPr>
          <w:i/>
          <w:iCs/>
        </w:rPr>
        <w:t xml:space="preserve"> Stackable Polysilicon Channel Access Device for Ultra-Dense NVDRAM</w:t>
      </w:r>
      <w:r w:rsidRPr="005B752F">
        <w:rPr>
          <w:i/>
          <w:iCs/>
        </w:rPr>
        <w:t xml:space="preserve">” – </w:t>
      </w:r>
      <w:r w:rsidRPr="00A917BA">
        <w:rPr>
          <w:i/>
          <w:iCs/>
        </w:rPr>
        <w:t>Micron Technology Inc.</w:t>
      </w:r>
      <w:r>
        <w:rPr>
          <w:i/>
          <w:iCs/>
        </w:rPr>
        <w:t xml:space="preserve"> (Paper T1</w:t>
      </w:r>
      <w:r w:rsidR="00A306FA">
        <w:rPr>
          <w:i/>
          <w:iCs/>
        </w:rPr>
        <w:t>7</w:t>
      </w:r>
      <w:r>
        <w:rPr>
          <w:i/>
          <w:iCs/>
        </w:rPr>
        <w:t>.2)</w:t>
      </w:r>
    </w:p>
    <w:p w14:paraId="3B98E0CE" w14:textId="77777777" w:rsidR="001005C3" w:rsidRDefault="001005C3" w:rsidP="001005C3">
      <w:pPr>
        <w:jc w:val="both"/>
      </w:pPr>
    </w:p>
    <w:p w14:paraId="72F52110" w14:textId="02CDFF1C" w:rsidR="001005C3" w:rsidRDefault="001005C3" w:rsidP="00961708">
      <w:r>
        <w:t>In this paper, Micron Technology reports on the methodology and optimization used to enable a stackable 4F</w:t>
      </w:r>
      <w:r w:rsidRPr="005B752F">
        <w:rPr>
          <w:vertAlign w:val="superscript"/>
        </w:rPr>
        <w:t>2</w:t>
      </w:r>
      <w:r>
        <w:t xml:space="preserve"> polysilicon </w:t>
      </w:r>
      <w:r w:rsidRPr="00C75641">
        <w:rPr>
          <w:u w:val="single"/>
        </w:rPr>
        <w:t>T</w:t>
      </w:r>
      <w:r>
        <w:t xml:space="preserve">hin </w:t>
      </w:r>
      <w:r w:rsidRPr="00C75641">
        <w:rPr>
          <w:u w:val="single"/>
        </w:rPr>
        <w:t>F</w:t>
      </w:r>
      <w:r>
        <w:t xml:space="preserve">ilm </w:t>
      </w:r>
      <w:r w:rsidRPr="00C75641">
        <w:rPr>
          <w:u w:val="single"/>
        </w:rPr>
        <w:t>T</w:t>
      </w:r>
      <w:r>
        <w:t xml:space="preserve">ransistor (TFT) for ultra-dense 32-Gb NVDRAM. Several key innovations are implemented to meet the strict thermal budget constraints required for dual-layer technology. Confined heating from pulsed laser annealing is used to crystallize polysilicon and activate source/drain dopants. Material is optimized to engineer both a gate oxide deposited at low temperatures capable of 10 years equivalent reliability and a ruthenium (Ru) word-line robust to agglomeration and voiding failures. Device performance, robust to top layer processing, is matched across both layers by </w:t>
      </w:r>
      <w:r>
        <w:lastRenderedPageBreak/>
        <w:t>adjusting process conditions as informed by a TCAD model that accounts for heat transfer and crystallization dynamics.</w:t>
      </w:r>
    </w:p>
    <w:p w14:paraId="41026809" w14:textId="77777777" w:rsidR="001005C3" w:rsidRPr="007D7AAD" w:rsidRDefault="001005C3" w:rsidP="001005C3">
      <w:pPr>
        <w:jc w:val="both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05C3" w14:paraId="21D94844" w14:textId="77777777" w:rsidTr="00084D83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F977" w14:textId="592386F2" w:rsidR="001005C3" w:rsidRDefault="001005C3" w:rsidP="008A4472"/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7F5B0" w14:textId="42FCE6A7" w:rsidR="001005C3" w:rsidRDefault="001005C3" w:rsidP="00084D83">
            <w:pPr>
              <w:jc w:val="center"/>
            </w:pPr>
          </w:p>
        </w:tc>
      </w:tr>
    </w:tbl>
    <w:p w14:paraId="150BF9C7" w14:textId="74D265F3" w:rsidR="00565D29" w:rsidRPr="00F71E58" w:rsidRDefault="00CD5A30" w:rsidP="00565D29">
      <w:pPr>
        <w:pStyle w:val="Heading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3D</w:t>
      </w:r>
      <w:r w:rsidR="00565D29" w:rsidRPr="00F71E58">
        <w:rPr>
          <w:b/>
          <w:bCs/>
          <w:sz w:val="24"/>
          <w:szCs w:val="24"/>
        </w:rPr>
        <w:t xml:space="preserve"> Technology</w:t>
      </w:r>
    </w:p>
    <w:p w14:paraId="0779F275" w14:textId="05E61FD8" w:rsidR="00565D29" w:rsidRPr="005B752F" w:rsidRDefault="00565D29" w:rsidP="00961708">
      <w:pPr>
        <w:rPr>
          <w:i/>
          <w:iCs/>
        </w:rPr>
      </w:pPr>
      <w:r w:rsidRPr="005B752F">
        <w:rPr>
          <w:i/>
          <w:iCs/>
        </w:rPr>
        <w:t>“</w:t>
      </w:r>
      <w:r w:rsidR="00723711" w:rsidRPr="003319E4">
        <w:rPr>
          <w:i/>
          <w:iCs/>
        </w:rPr>
        <w:t xml:space="preserve">Backside </w:t>
      </w:r>
      <w:r w:rsidR="00EA1E34">
        <w:rPr>
          <w:i/>
          <w:iCs/>
        </w:rPr>
        <w:t>P</w:t>
      </w:r>
      <w:r w:rsidR="00723711" w:rsidRPr="003319E4">
        <w:rPr>
          <w:i/>
          <w:iCs/>
        </w:rPr>
        <w:t xml:space="preserve">ower </w:t>
      </w:r>
      <w:r w:rsidR="00EA1E34">
        <w:rPr>
          <w:i/>
          <w:iCs/>
        </w:rPr>
        <w:t>D</w:t>
      </w:r>
      <w:r w:rsidR="00723711" w:rsidRPr="003319E4">
        <w:rPr>
          <w:i/>
          <w:iCs/>
        </w:rPr>
        <w:t xml:space="preserve">istribution for </w:t>
      </w:r>
      <w:r w:rsidR="00EA1E34">
        <w:rPr>
          <w:i/>
          <w:iCs/>
        </w:rPr>
        <w:t>N</w:t>
      </w:r>
      <w:r w:rsidR="00723711" w:rsidRPr="003319E4">
        <w:rPr>
          <w:i/>
          <w:iCs/>
        </w:rPr>
        <w:t xml:space="preserve">anosheet </w:t>
      </w:r>
      <w:r w:rsidR="00EA1E34">
        <w:rPr>
          <w:i/>
          <w:iCs/>
        </w:rPr>
        <w:t>T</w:t>
      </w:r>
      <w:r w:rsidR="00723711" w:rsidRPr="003319E4">
        <w:rPr>
          <w:i/>
          <w:iCs/>
        </w:rPr>
        <w:t xml:space="preserve">echnologies </w:t>
      </w:r>
      <w:r w:rsidR="00EA1E34">
        <w:rPr>
          <w:i/>
          <w:iCs/>
        </w:rPr>
        <w:t>B</w:t>
      </w:r>
      <w:r w:rsidR="00723711" w:rsidRPr="003319E4">
        <w:rPr>
          <w:i/>
          <w:iCs/>
        </w:rPr>
        <w:t>eyond 2</w:t>
      </w:r>
      <w:r w:rsidR="00FF12BA">
        <w:rPr>
          <w:i/>
          <w:iCs/>
        </w:rPr>
        <w:t xml:space="preserve"> </w:t>
      </w:r>
      <w:r w:rsidR="00723711" w:rsidRPr="003319E4">
        <w:rPr>
          <w:i/>
          <w:iCs/>
        </w:rPr>
        <w:t>nm</w:t>
      </w:r>
      <w:r w:rsidRPr="005B752F">
        <w:rPr>
          <w:i/>
          <w:iCs/>
        </w:rPr>
        <w:t xml:space="preserve">” </w:t>
      </w:r>
      <w:r w:rsidRPr="005B752F">
        <w:t xml:space="preserve">– </w:t>
      </w:r>
      <w:r w:rsidR="00C70BA5" w:rsidRPr="003319E4">
        <w:rPr>
          <w:i/>
          <w:iCs/>
        </w:rPr>
        <w:t>IBM Research</w:t>
      </w:r>
      <w:r w:rsidR="00BE5709">
        <w:rPr>
          <w:i/>
          <w:iCs/>
        </w:rPr>
        <w:t xml:space="preserve"> and Samsung Electronics</w:t>
      </w:r>
      <w:r w:rsidR="003851AE">
        <w:rPr>
          <w:i/>
          <w:iCs/>
        </w:rPr>
        <w:t xml:space="preserve"> (Paper TFS2.3)</w:t>
      </w:r>
    </w:p>
    <w:p w14:paraId="6C571797" w14:textId="77777777" w:rsidR="00565D29" w:rsidRDefault="00565D29" w:rsidP="00961708"/>
    <w:p w14:paraId="6430F8AF" w14:textId="6860662D" w:rsidR="00565D29" w:rsidRDefault="003319E4" w:rsidP="00961708">
      <w:r>
        <w:t xml:space="preserve">This </w:t>
      </w:r>
      <w:r w:rsidR="00BE5709">
        <w:t xml:space="preserve">joint </w:t>
      </w:r>
      <w:r w:rsidR="00837551">
        <w:t xml:space="preserve">IBM </w:t>
      </w:r>
      <w:r w:rsidR="00BE5709">
        <w:t xml:space="preserve">and Samsung </w:t>
      </w:r>
      <w:r w:rsidR="00837551">
        <w:t xml:space="preserve">paper examines various approaches for integrating </w:t>
      </w:r>
      <w:r w:rsidR="00955F2D" w:rsidRPr="00955F2D">
        <w:rPr>
          <w:u w:val="single"/>
        </w:rPr>
        <w:t>B</w:t>
      </w:r>
      <w:r w:rsidR="00837551">
        <w:t xml:space="preserve">ackside </w:t>
      </w:r>
      <w:r w:rsidR="00955F2D" w:rsidRPr="00955F2D">
        <w:rPr>
          <w:u w:val="single"/>
        </w:rPr>
        <w:t>P</w:t>
      </w:r>
      <w:r w:rsidR="00837551">
        <w:t xml:space="preserve">ower </w:t>
      </w:r>
      <w:r w:rsidR="00955F2D" w:rsidRPr="00955F2D">
        <w:rPr>
          <w:u w:val="single"/>
        </w:rPr>
        <w:t>D</w:t>
      </w:r>
      <w:r w:rsidR="00837551">
        <w:t xml:space="preserve">istribution </w:t>
      </w:r>
      <w:r w:rsidR="00955F2D" w:rsidRPr="00955F2D">
        <w:rPr>
          <w:u w:val="single"/>
        </w:rPr>
        <w:t>N</w:t>
      </w:r>
      <w:r w:rsidR="00837551">
        <w:t xml:space="preserve">etwork (BSPDN) with nanosheet transistor technologies. Deep Trench Via based </w:t>
      </w:r>
      <w:r w:rsidR="002B1C80">
        <w:t xml:space="preserve">on </w:t>
      </w:r>
      <w:r w:rsidR="00837551">
        <w:t>BSPDN schemes, except for Shifted Frontside Via Backside Power rail, do not offer cell level scaling benefits, but via resistance could remain a bottleneck. Direct Backside Contact</w:t>
      </w:r>
      <w:r w:rsidR="003675E9">
        <w:t>-</w:t>
      </w:r>
      <w:r w:rsidR="00837551">
        <w:t xml:space="preserve">based schemes offer </w:t>
      </w:r>
      <w:r w:rsidR="002B1C80">
        <w:t>the best</w:t>
      </w:r>
      <w:r w:rsidR="00837551">
        <w:t xml:space="preserve"> cell level scaling. </w:t>
      </w:r>
      <w:r w:rsidR="00D91CDD">
        <w:t>Finally, a</w:t>
      </w:r>
      <w:r w:rsidR="00837551">
        <w:t xml:space="preserve"> novel self-aligned backside contact scheme integrated with nanosheet transistors is demonstrated with immunity to misalignments in backside contact formation. The structure exhibits good device characteristics and satisfactory reliability</w:t>
      </w:r>
      <w:r w:rsidR="00565D29">
        <w:t>.</w:t>
      </w:r>
    </w:p>
    <w:p w14:paraId="45C14317" w14:textId="77777777" w:rsidR="00565D29" w:rsidRPr="007D7AAD" w:rsidRDefault="00565D29" w:rsidP="00565D29">
      <w:pPr>
        <w:jc w:val="both"/>
        <w:rPr>
          <w:sz w:val="8"/>
          <w:szCs w:val="8"/>
        </w:rPr>
      </w:pPr>
    </w:p>
    <w:p w14:paraId="70084A1D" w14:textId="77777777" w:rsidR="001005C3" w:rsidRPr="00F71E58" w:rsidRDefault="001005C3" w:rsidP="001005C3">
      <w:pPr>
        <w:pStyle w:val="Heading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3D</w:t>
      </w:r>
      <w:r w:rsidRPr="00F71E58">
        <w:rPr>
          <w:b/>
          <w:bCs/>
          <w:sz w:val="24"/>
          <w:szCs w:val="24"/>
        </w:rPr>
        <w:t xml:space="preserve"> Technology</w:t>
      </w:r>
    </w:p>
    <w:p w14:paraId="09102516" w14:textId="77777777" w:rsidR="001005C3" w:rsidRPr="005B752F" w:rsidRDefault="001005C3" w:rsidP="00961708">
      <w:pPr>
        <w:rPr>
          <w:i/>
          <w:iCs/>
        </w:rPr>
      </w:pPr>
      <w:r w:rsidRPr="005B752F">
        <w:rPr>
          <w:i/>
          <w:iCs/>
        </w:rPr>
        <w:t>“</w:t>
      </w:r>
      <w:r w:rsidRPr="00A917BA">
        <w:rPr>
          <w:i/>
          <w:iCs/>
        </w:rPr>
        <w:t xml:space="preserve">Integration of Si-Interposer and High Density MIM Capacitor on 2.5D </w:t>
      </w:r>
      <w:proofErr w:type="spellStart"/>
      <w:r w:rsidRPr="00A917BA">
        <w:rPr>
          <w:i/>
          <w:iCs/>
        </w:rPr>
        <w:t>Foveros</w:t>
      </w:r>
      <w:proofErr w:type="spellEnd"/>
      <w:r w:rsidRPr="00A917BA">
        <w:rPr>
          <w:i/>
          <w:iCs/>
        </w:rPr>
        <w:t xml:space="preserve"> Face-to-Face Architecture</w:t>
      </w:r>
      <w:r w:rsidRPr="005B752F">
        <w:rPr>
          <w:i/>
          <w:iCs/>
        </w:rPr>
        <w:t xml:space="preserve">” </w:t>
      </w:r>
      <w:r w:rsidRPr="005B752F">
        <w:t xml:space="preserve">– </w:t>
      </w:r>
      <w:r w:rsidRPr="00A917BA">
        <w:rPr>
          <w:i/>
          <w:iCs/>
        </w:rPr>
        <w:t>Intel Corporation</w:t>
      </w:r>
      <w:r>
        <w:rPr>
          <w:i/>
          <w:iCs/>
        </w:rPr>
        <w:t xml:space="preserve"> (Paper T9.1)</w:t>
      </w:r>
    </w:p>
    <w:p w14:paraId="4B6B7BB5" w14:textId="77777777" w:rsidR="001005C3" w:rsidRDefault="001005C3" w:rsidP="001005C3">
      <w:pPr>
        <w:jc w:val="both"/>
      </w:pPr>
    </w:p>
    <w:p w14:paraId="7575A9DD" w14:textId="45188715" w:rsidR="001005C3" w:rsidRDefault="001005C3" w:rsidP="00961708">
      <w:r>
        <w:t xml:space="preserve">Integration of different computing elements through silicon interposers enables scaling opportunities beyond Moore’s law. Intel’s passive Si-Interposer enables interconnections among different </w:t>
      </w:r>
      <w:proofErr w:type="spellStart"/>
      <w:r>
        <w:t>chiplets</w:t>
      </w:r>
      <w:proofErr w:type="spellEnd"/>
      <w:r>
        <w:t xml:space="preserve"> using Through Silicon Via (TSV) technology along with a refined </w:t>
      </w:r>
      <w:r w:rsidR="00961708">
        <w:br/>
      </w:r>
      <w:r>
        <w:t xml:space="preserve">36-μm </w:t>
      </w:r>
      <w:proofErr w:type="spellStart"/>
      <w:r>
        <w:t>microbump</w:t>
      </w:r>
      <w:proofErr w:type="spellEnd"/>
      <w:r>
        <w:t xml:space="preserve"> pitch in a face-to-face die configuration. The Si-Interposer houses a </w:t>
      </w:r>
      <w:r w:rsidRPr="00B926CA">
        <w:rPr>
          <w:u w:val="single"/>
        </w:rPr>
        <w:t>H</w:t>
      </w:r>
      <w:r>
        <w:t>igh-</w:t>
      </w:r>
      <w:r w:rsidRPr="00B926CA">
        <w:rPr>
          <w:u w:val="single"/>
        </w:rPr>
        <w:t>D</w:t>
      </w:r>
      <w:r>
        <w:t xml:space="preserve">ensity </w:t>
      </w:r>
      <w:r w:rsidRPr="00B926CA">
        <w:rPr>
          <w:u w:val="single"/>
        </w:rPr>
        <w:t>M</w:t>
      </w:r>
      <w:r>
        <w:t>etal-</w:t>
      </w:r>
      <w:r w:rsidRPr="00B926CA">
        <w:rPr>
          <w:u w:val="single"/>
        </w:rPr>
        <w:t>I</w:t>
      </w:r>
      <w:r>
        <w:t>nsulator-</w:t>
      </w:r>
      <w:r w:rsidRPr="00B926CA">
        <w:rPr>
          <w:u w:val="single"/>
        </w:rPr>
        <w:t>M</w:t>
      </w:r>
      <w:r>
        <w:t xml:space="preserve">etal (HDMIM) integrated decoupling capacitor for voltage droop reduction and noise suppression. Products can either utilize HDMIM in the Si-Interposer die, built in HDMIM in the </w:t>
      </w:r>
      <w:proofErr w:type="spellStart"/>
      <w:r>
        <w:t>chiplet</w:t>
      </w:r>
      <w:proofErr w:type="spellEnd"/>
      <w:r>
        <w:t xml:space="preserve"> die, or both. Intel’s paper describes high-density metal-insulator-metal fabrication steps, electrical properties, reliability benchmarks, and performance enhancements by incorporation of Si-Interposer HDMIM.</w:t>
      </w:r>
    </w:p>
    <w:p w14:paraId="3E027EB1" w14:textId="77777777" w:rsidR="001005C3" w:rsidRPr="007D7AAD" w:rsidRDefault="001005C3" w:rsidP="001005C3">
      <w:pPr>
        <w:jc w:val="both"/>
        <w:rPr>
          <w:sz w:val="8"/>
          <w:szCs w:val="8"/>
        </w:rPr>
      </w:pPr>
    </w:p>
    <w:p w14:paraId="0BACF2D1" w14:textId="77777777" w:rsidR="001005C3" w:rsidRPr="00F71E58" w:rsidRDefault="001005C3" w:rsidP="001005C3">
      <w:pPr>
        <w:pStyle w:val="Heading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3D</w:t>
      </w:r>
      <w:r w:rsidRPr="00F71E58">
        <w:rPr>
          <w:b/>
          <w:bCs/>
          <w:sz w:val="24"/>
          <w:szCs w:val="24"/>
        </w:rPr>
        <w:t xml:space="preserve"> Technology</w:t>
      </w:r>
    </w:p>
    <w:p w14:paraId="04EC0057" w14:textId="747202F6" w:rsidR="001005C3" w:rsidRPr="005B752F" w:rsidRDefault="001005C3" w:rsidP="00961708">
      <w:pPr>
        <w:rPr>
          <w:i/>
          <w:iCs/>
        </w:rPr>
      </w:pPr>
      <w:r w:rsidRPr="005B752F">
        <w:rPr>
          <w:i/>
          <w:iCs/>
        </w:rPr>
        <w:t>“</w:t>
      </w:r>
      <w:r w:rsidRPr="00A917BA">
        <w:rPr>
          <w:i/>
          <w:iCs/>
        </w:rPr>
        <w:t>Thermal Considerations for Block-Level PPA Assessment in Angstrom Era: A Comparison Study of Nanosheet FETs (A10) &amp; Complementary FETs (A5)</w:t>
      </w:r>
      <w:r w:rsidRPr="005B752F">
        <w:rPr>
          <w:i/>
          <w:iCs/>
        </w:rPr>
        <w:t xml:space="preserve">” – </w:t>
      </w:r>
      <w:r>
        <w:rPr>
          <w:i/>
          <w:iCs/>
        </w:rPr>
        <w:t>IMEC (Paper T5.4)</w:t>
      </w:r>
    </w:p>
    <w:p w14:paraId="6CD5B6DC" w14:textId="77777777" w:rsidR="001005C3" w:rsidRDefault="001005C3" w:rsidP="00961708"/>
    <w:p w14:paraId="5DD50B09" w14:textId="17312653" w:rsidR="001005C3" w:rsidRDefault="001005C3" w:rsidP="00961708">
      <w:r>
        <w:t xml:space="preserve">In this paper, IMEC proposes a thermal-aware block-level PPA comparison study for </w:t>
      </w:r>
      <w:proofErr w:type="spellStart"/>
      <w:r w:rsidRPr="00401514">
        <w:rPr>
          <w:u w:val="single"/>
        </w:rPr>
        <w:t>N</w:t>
      </w:r>
      <w:r>
        <w:t>ano</w:t>
      </w:r>
      <w:r w:rsidRPr="00401514">
        <w:rPr>
          <w:u w:val="single"/>
        </w:rPr>
        <w:t>S</w:t>
      </w:r>
      <w:r>
        <w:t>heet</w:t>
      </w:r>
      <w:proofErr w:type="spellEnd"/>
      <w:r>
        <w:t xml:space="preserve"> transistors (NSFET) and </w:t>
      </w:r>
      <w:r w:rsidRPr="00401514">
        <w:rPr>
          <w:u w:val="single"/>
        </w:rPr>
        <w:t>C</w:t>
      </w:r>
      <w:r>
        <w:t xml:space="preserve">omplementary </w:t>
      </w:r>
      <w:r w:rsidRPr="00401514">
        <w:rPr>
          <w:u w:val="single"/>
        </w:rPr>
        <w:t>F</w:t>
      </w:r>
      <w:r>
        <w:t xml:space="preserve">ield </w:t>
      </w:r>
      <w:r w:rsidRPr="00401514">
        <w:rPr>
          <w:u w:val="single"/>
        </w:rPr>
        <w:t>E</w:t>
      </w:r>
      <w:r>
        <w:t xml:space="preserve">ffect </w:t>
      </w:r>
      <w:r w:rsidRPr="00401514">
        <w:rPr>
          <w:u w:val="single"/>
        </w:rPr>
        <w:t>T</w:t>
      </w:r>
      <w:r>
        <w:t>ransistors (CFET), expected to be used in future Angstrom nodes, namely A10 and A5 respectively. They reported block-level scaling results from A10 to A5 node on an open-source many-core architecture: 2.5% increase in F</w:t>
      </w:r>
      <w:r w:rsidRPr="005B752F">
        <w:rPr>
          <w:vertAlign w:val="subscript"/>
        </w:rPr>
        <w:t>max</w:t>
      </w:r>
      <w:r>
        <w:t xml:space="preserve">, 25% reduction in power, 27% reduction in energy per cycle, achieved with 35% area reduction and a consequent increase in power density by 15% under nominal condition of 0.7 V and 25 </w:t>
      </w:r>
      <w:r w:rsidRPr="00A917BA">
        <w:rPr>
          <w:i/>
          <w:iCs/>
        </w:rPr>
        <w:t>°</w:t>
      </w:r>
      <w:r>
        <w:t xml:space="preserve">C. The PPA analysis methodology was augmented with a fast package-level thermal simulator to enable early self-consistent thermal estimation that accounts for exponential leakage power increase with temperature, which is important for dynamic thermal management applications. The analysis reveals a reduction of 64 mV in </w:t>
      </w:r>
      <w:proofErr w:type="spellStart"/>
      <w:r>
        <w:t>Vdd</w:t>
      </w:r>
      <w:proofErr w:type="spellEnd"/>
      <w:r>
        <w:t xml:space="preserve"> and 10% in frequency required for A5 node to maintain same </w:t>
      </w:r>
      <w:proofErr w:type="spellStart"/>
      <w:proofErr w:type="gramStart"/>
      <w:r>
        <w:t>T</w:t>
      </w:r>
      <w:r w:rsidRPr="005B752F">
        <w:rPr>
          <w:vertAlign w:val="subscript"/>
        </w:rPr>
        <w:t>j,max</w:t>
      </w:r>
      <w:proofErr w:type="spellEnd"/>
      <w:proofErr w:type="gramEnd"/>
      <w:r>
        <w:t xml:space="preserve"> as A10 node operating at 0.7 V, still resulting in a 40% gain in system throughput.</w:t>
      </w:r>
    </w:p>
    <w:p w14:paraId="51152E83" w14:textId="77777777" w:rsidR="001005C3" w:rsidRPr="007D7AAD" w:rsidRDefault="001005C3" w:rsidP="001005C3">
      <w:pPr>
        <w:jc w:val="both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05C3" w14:paraId="79820C69" w14:textId="77777777" w:rsidTr="00084D83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6340D" w14:textId="0C69AA17" w:rsidR="001005C3" w:rsidRDefault="001005C3" w:rsidP="00084D83">
            <w:pPr>
              <w:jc w:val="center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B61B" w14:textId="4CAEEC7A" w:rsidR="001005C3" w:rsidRDefault="001005C3" w:rsidP="00084D83">
            <w:pPr>
              <w:jc w:val="center"/>
            </w:pPr>
          </w:p>
        </w:tc>
      </w:tr>
      <w:tr w:rsidR="001005C3" w14:paraId="16A35D7F" w14:textId="77777777" w:rsidTr="00084D83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319D9" w14:textId="77777777" w:rsidR="001005C3" w:rsidRDefault="001005C3" w:rsidP="00961708">
            <w:r>
              <w:t>Figures: (Left). Performance/Watt comparison between A10 and A5 nodes, showing higher efficiency for A5 node across all temperatures. (Right) Iso-die area SOC level thermal maps using T-independent power (top) and self-consistent power for both A10 and A5 operating at 0.7V (bottom).</w:t>
            </w:r>
          </w:p>
        </w:tc>
      </w:tr>
    </w:tbl>
    <w:p w14:paraId="127D4F59" w14:textId="77777777" w:rsidR="008A4472" w:rsidRDefault="008A4472" w:rsidP="00F877F7">
      <w:pPr>
        <w:pStyle w:val="Heading3"/>
        <w:rPr>
          <w:b/>
          <w:bCs/>
          <w:sz w:val="24"/>
          <w:szCs w:val="24"/>
        </w:rPr>
      </w:pPr>
    </w:p>
    <w:p w14:paraId="6430B944" w14:textId="57C09768" w:rsidR="00F877F7" w:rsidRPr="00F71E58" w:rsidRDefault="00172055" w:rsidP="00F877F7">
      <w:pPr>
        <w:pStyle w:val="Heading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Beyond </w:t>
      </w:r>
      <w:r w:rsidR="00044BA8">
        <w:rPr>
          <w:b/>
          <w:bCs/>
          <w:sz w:val="24"/>
          <w:szCs w:val="24"/>
        </w:rPr>
        <w:t>CMOS</w:t>
      </w:r>
      <w:r w:rsidR="00F877F7" w:rsidRPr="00F71E58">
        <w:rPr>
          <w:b/>
          <w:bCs/>
          <w:sz w:val="24"/>
          <w:szCs w:val="24"/>
        </w:rPr>
        <w:t xml:space="preserve"> Technology</w:t>
      </w:r>
    </w:p>
    <w:p w14:paraId="3C405366" w14:textId="139B6FD1" w:rsidR="00F877F7" w:rsidRPr="005B752F" w:rsidRDefault="00F877F7" w:rsidP="00961708">
      <w:pPr>
        <w:rPr>
          <w:i/>
          <w:iCs/>
        </w:rPr>
      </w:pPr>
      <w:r w:rsidRPr="005B752F">
        <w:rPr>
          <w:i/>
          <w:iCs/>
        </w:rPr>
        <w:t>“</w:t>
      </w:r>
      <w:r w:rsidR="00AE2A98" w:rsidRPr="003319E4">
        <w:rPr>
          <w:i/>
          <w:iCs/>
        </w:rPr>
        <w:t xml:space="preserve">On the </w:t>
      </w:r>
      <w:r w:rsidR="00EA1E34">
        <w:rPr>
          <w:i/>
          <w:iCs/>
        </w:rPr>
        <w:t>E</w:t>
      </w:r>
      <w:r w:rsidR="00AE2A98" w:rsidRPr="003319E4">
        <w:rPr>
          <w:i/>
          <w:iCs/>
        </w:rPr>
        <w:t xml:space="preserve">xtreme </w:t>
      </w:r>
      <w:r w:rsidR="00EA1E34">
        <w:rPr>
          <w:i/>
          <w:iCs/>
        </w:rPr>
        <w:t>S</w:t>
      </w:r>
      <w:r w:rsidR="00AE2A98" w:rsidRPr="003319E4">
        <w:rPr>
          <w:i/>
          <w:iCs/>
        </w:rPr>
        <w:t xml:space="preserve">caling of </w:t>
      </w:r>
      <w:r w:rsidR="00EA1E34">
        <w:rPr>
          <w:i/>
          <w:iCs/>
        </w:rPr>
        <w:t>T</w:t>
      </w:r>
      <w:r w:rsidR="00AE2A98" w:rsidRPr="003319E4">
        <w:rPr>
          <w:i/>
          <w:iCs/>
        </w:rPr>
        <w:t xml:space="preserve">ransistors with </w:t>
      </w:r>
      <w:r w:rsidR="00EA1E34">
        <w:rPr>
          <w:i/>
          <w:iCs/>
        </w:rPr>
        <w:t>M</w:t>
      </w:r>
      <w:r w:rsidR="00AE2A98" w:rsidRPr="003319E4">
        <w:rPr>
          <w:i/>
          <w:iCs/>
        </w:rPr>
        <w:t>onolayer MoS</w:t>
      </w:r>
      <w:r w:rsidR="00AE2A98" w:rsidRPr="005B752F">
        <w:rPr>
          <w:i/>
          <w:iCs/>
          <w:vertAlign w:val="subscript"/>
        </w:rPr>
        <w:t>2</w:t>
      </w:r>
      <w:r w:rsidR="00AE2A98" w:rsidRPr="003319E4">
        <w:rPr>
          <w:i/>
          <w:iCs/>
        </w:rPr>
        <w:t xml:space="preserve"> </w:t>
      </w:r>
      <w:r w:rsidR="00EA1E34">
        <w:rPr>
          <w:i/>
          <w:iCs/>
        </w:rPr>
        <w:t>C</w:t>
      </w:r>
      <w:r w:rsidR="00AE2A98" w:rsidRPr="003319E4">
        <w:rPr>
          <w:i/>
          <w:iCs/>
        </w:rPr>
        <w:t>hannel</w:t>
      </w:r>
      <w:r w:rsidRPr="005B752F">
        <w:rPr>
          <w:i/>
          <w:iCs/>
        </w:rPr>
        <w:t xml:space="preserve">” </w:t>
      </w:r>
      <w:r w:rsidRPr="005B752F">
        <w:t xml:space="preserve">– </w:t>
      </w:r>
      <w:r w:rsidR="00A24F14" w:rsidRPr="003319E4">
        <w:rPr>
          <w:i/>
          <w:iCs/>
        </w:rPr>
        <w:t>TSMC</w:t>
      </w:r>
      <w:r w:rsidR="006A47A6" w:rsidRPr="003319E4">
        <w:rPr>
          <w:i/>
          <w:iCs/>
        </w:rPr>
        <w:t xml:space="preserve"> </w:t>
      </w:r>
      <w:r w:rsidR="00BE5709">
        <w:rPr>
          <w:i/>
          <w:iCs/>
        </w:rPr>
        <w:t xml:space="preserve">and National Yang Ming Chiao Tung University </w:t>
      </w:r>
      <w:r w:rsidR="006A47A6" w:rsidRPr="003319E4">
        <w:rPr>
          <w:i/>
          <w:iCs/>
        </w:rPr>
        <w:t>(Highlight Session</w:t>
      </w:r>
      <w:r w:rsidR="003851AE">
        <w:rPr>
          <w:i/>
          <w:iCs/>
        </w:rPr>
        <w:t xml:space="preserve"> – Paper T1.4</w:t>
      </w:r>
      <w:r w:rsidR="006A47A6" w:rsidRPr="003319E4">
        <w:rPr>
          <w:i/>
          <w:iCs/>
        </w:rPr>
        <w:t>)</w:t>
      </w:r>
    </w:p>
    <w:p w14:paraId="0ACC46E6" w14:textId="77777777" w:rsidR="00F877F7" w:rsidRDefault="00F877F7" w:rsidP="00961708"/>
    <w:p w14:paraId="59C8AD09" w14:textId="78AD2668" w:rsidR="00F877F7" w:rsidRDefault="00E956A8" w:rsidP="00961708">
      <w:r>
        <w:t xml:space="preserve">2D </w:t>
      </w:r>
      <w:r w:rsidR="00E83210" w:rsidRPr="00E83210">
        <w:rPr>
          <w:u w:val="single"/>
        </w:rPr>
        <w:t>T</w:t>
      </w:r>
      <w:r>
        <w:t xml:space="preserve">ransition </w:t>
      </w:r>
      <w:r w:rsidR="00E83210" w:rsidRPr="00E83210">
        <w:rPr>
          <w:u w:val="single"/>
        </w:rPr>
        <w:t>M</w:t>
      </w:r>
      <w:r>
        <w:t xml:space="preserve">etal </w:t>
      </w:r>
      <w:r w:rsidR="00E83210" w:rsidRPr="00AF284D">
        <w:rPr>
          <w:u w:val="single"/>
        </w:rPr>
        <w:t>D</w:t>
      </w:r>
      <w:r>
        <w:t xml:space="preserve">ichalcogenides (TMDs) show promise for transistor scaling, but their on-scale performance had not been proven yet. </w:t>
      </w:r>
      <w:r w:rsidR="00AF284D">
        <w:t>In this</w:t>
      </w:r>
      <w:r>
        <w:t xml:space="preserve"> work</w:t>
      </w:r>
      <w:r w:rsidR="00AF284D">
        <w:t xml:space="preserve">, </w:t>
      </w:r>
      <w:r w:rsidR="00BE5709">
        <w:t xml:space="preserve">collaborators at </w:t>
      </w:r>
      <w:r w:rsidR="00AF284D">
        <w:t>TSMC</w:t>
      </w:r>
      <w:r w:rsidR="00BE5709">
        <w:t xml:space="preserve"> and</w:t>
      </w:r>
      <w:r>
        <w:t xml:space="preserve"> </w:t>
      </w:r>
      <w:r w:rsidR="00BE5709">
        <w:t xml:space="preserve">National Yang Ming Chiao Tung University </w:t>
      </w:r>
      <w:r>
        <w:t>demonstrate contact length scaling while holding a low contact resistance down to 11 nm. Channel length scaling shows I</w:t>
      </w:r>
      <w:r w:rsidRPr="005B752F">
        <w:rPr>
          <w:vertAlign w:val="subscript"/>
        </w:rPr>
        <w:t>ON</w:t>
      </w:r>
      <w:r>
        <w:t xml:space="preserve"> can increase down to at least 12 nm with low RC. The very scaled (</w:t>
      </w:r>
      <w:r w:rsidR="00C37BBD">
        <w:t>channel length</w:t>
      </w:r>
      <w:r>
        <w:t xml:space="preserve"> = 19 nm</w:t>
      </w:r>
      <w:r w:rsidR="00C37BBD">
        <w:t>)</w:t>
      </w:r>
      <w:r>
        <w:t xml:space="preserve"> MoS</w:t>
      </w:r>
      <w:r w:rsidRPr="005B752F">
        <w:rPr>
          <w:vertAlign w:val="subscript"/>
        </w:rPr>
        <w:t>2</w:t>
      </w:r>
      <w:r>
        <w:t xml:space="preserve"> transistor with Sb-based metal contact has current density of ~1130 </w:t>
      </w:r>
      <w:r>
        <w:sym w:font="Symbol" w:char="F06D"/>
      </w:r>
      <w:r>
        <w:t>A/</w:t>
      </w:r>
      <w:r>
        <w:sym w:font="Symbol" w:char="F06D"/>
      </w:r>
      <w:r>
        <w:t>m at V</w:t>
      </w:r>
      <w:r w:rsidRPr="00C37BBD">
        <w:rPr>
          <w:vertAlign w:val="subscript"/>
        </w:rPr>
        <w:t>DS</w:t>
      </w:r>
      <w:r w:rsidR="00FF12BA">
        <w:rPr>
          <w:vertAlign w:val="subscript"/>
        </w:rPr>
        <w:t xml:space="preserve"> </w:t>
      </w:r>
      <w:r>
        <w:t>=</w:t>
      </w:r>
      <w:r w:rsidR="00FF12BA">
        <w:t xml:space="preserve"> </w:t>
      </w:r>
      <w:r>
        <w:t>1</w:t>
      </w:r>
      <w:r w:rsidR="00FF12BA">
        <w:t xml:space="preserve"> </w:t>
      </w:r>
      <w:r>
        <w:t xml:space="preserve">V, and a low </w:t>
      </w:r>
      <w:r w:rsidR="00302E70">
        <w:t>contact resistance</w:t>
      </w:r>
      <w:r>
        <w:t xml:space="preserve"> of ~190 Ω·</w:t>
      </w:r>
      <w:r>
        <w:sym w:font="Symbol" w:char="F06D"/>
      </w:r>
      <w:r>
        <w:t>m. These scaled transistors, processed within a back-end-of-line (BEOL) thermal budget, do not exhibit subthreshold swing degradation or observable drain-induced barrier lowering down to 12</w:t>
      </w:r>
      <w:r w:rsidR="0011791B">
        <w:t>-</w:t>
      </w:r>
      <w:r>
        <w:t>nm</w:t>
      </w:r>
      <w:r w:rsidR="002B1E6E">
        <w:t xml:space="preserve"> channel length</w:t>
      </w:r>
      <w:r w:rsidR="00F877F7">
        <w:t>.</w:t>
      </w:r>
    </w:p>
    <w:p w14:paraId="02A3170D" w14:textId="77777777" w:rsidR="00F877F7" w:rsidRPr="007D7AAD" w:rsidRDefault="00F877F7" w:rsidP="00F877F7">
      <w:pPr>
        <w:jc w:val="both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3648" w14:paraId="716C2CC0" w14:textId="77777777" w:rsidTr="00392906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80CF6" w14:textId="6C59B649" w:rsidR="00F877F7" w:rsidRDefault="00F877F7" w:rsidP="00392906">
            <w:pPr>
              <w:jc w:val="center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61EE6" w14:textId="48B30E1F" w:rsidR="00F877F7" w:rsidRDefault="00F877F7" w:rsidP="00392906">
            <w:pPr>
              <w:jc w:val="center"/>
            </w:pPr>
          </w:p>
        </w:tc>
      </w:tr>
    </w:tbl>
    <w:p w14:paraId="2696C881" w14:textId="1FD2826E" w:rsidR="008907EC" w:rsidRPr="00F71E58" w:rsidRDefault="00632D0C" w:rsidP="009E557E">
      <w:pPr>
        <w:pStyle w:val="Heading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Beyond CMOS</w:t>
      </w:r>
      <w:r w:rsidR="008907EC" w:rsidRPr="00F71E58">
        <w:rPr>
          <w:b/>
          <w:bCs/>
          <w:sz w:val="24"/>
          <w:szCs w:val="24"/>
        </w:rPr>
        <w:t xml:space="preserve"> Technology</w:t>
      </w:r>
    </w:p>
    <w:p w14:paraId="0196B43D" w14:textId="2C442BD5" w:rsidR="008907EC" w:rsidRPr="005B752F" w:rsidRDefault="008907EC" w:rsidP="009E557E">
      <w:pPr>
        <w:rPr>
          <w:i/>
          <w:iCs/>
        </w:rPr>
      </w:pPr>
      <w:r w:rsidRPr="005B752F">
        <w:rPr>
          <w:i/>
          <w:iCs/>
        </w:rPr>
        <w:t>“</w:t>
      </w:r>
      <w:r w:rsidR="002F3258" w:rsidRPr="00A917BA">
        <w:rPr>
          <w:i/>
          <w:iCs/>
        </w:rPr>
        <w:t>HZO-based Nonvolatile SRAM Array with 100% Bit Recall Yield and Sufficient Retention Time at 85 °C</w:t>
      </w:r>
      <w:r w:rsidRPr="005B752F">
        <w:rPr>
          <w:i/>
          <w:iCs/>
        </w:rPr>
        <w:t xml:space="preserve">” – </w:t>
      </w:r>
      <w:r w:rsidR="00EB1BF4" w:rsidRPr="00A917BA">
        <w:rPr>
          <w:i/>
          <w:iCs/>
        </w:rPr>
        <w:t>Sony Semiconductor Solutions Corporation</w:t>
      </w:r>
      <w:r w:rsidR="0011791B">
        <w:rPr>
          <w:i/>
          <w:iCs/>
        </w:rPr>
        <w:t xml:space="preserve">, Fraunhofer IPMS, and </w:t>
      </w:r>
      <w:proofErr w:type="spellStart"/>
      <w:r w:rsidR="0011791B">
        <w:rPr>
          <w:i/>
          <w:iCs/>
        </w:rPr>
        <w:t>NaMLab</w:t>
      </w:r>
      <w:proofErr w:type="spellEnd"/>
      <w:r w:rsidR="000529A0">
        <w:rPr>
          <w:i/>
          <w:iCs/>
        </w:rPr>
        <w:t xml:space="preserve"> (Paper T2.1)</w:t>
      </w:r>
    </w:p>
    <w:p w14:paraId="0D8D448E" w14:textId="77777777" w:rsidR="008907EC" w:rsidRDefault="008907EC" w:rsidP="008907EC">
      <w:pPr>
        <w:jc w:val="both"/>
      </w:pPr>
    </w:p>
    <w:p w14:paraId="7F8BBE7F" w14:textId="0E46AACE" w:rsidR="008907EC" w:rsidRDefault="005B5193" w:rsidP="009E557E">
      <w:r>
        <w:t xml:space="preserve">For the first time, </w:t>
      </w:r>
      <w:r w:rsidR="00D22B04">
        <w:t xml:space="preserve">the paper </w:t>
      </w:r>
      <w:r w:rsidR="0011791B">
        <w:t>led by</w:t>
      </w:r>
      <w:r w:rsidR="00D22B04">
        <w:t xml:space="preserve"> Sony </w:t>
      </w:r>
      <w:r w:rsidR="005F2D82">
        <w:t>experimentally demonstrate</w:t>
      </w:r>
      <w:r w:rsidR="0011791B">
        <w:t>s</w:t>
      </w:r>
      <w:r w:rsidR="005F2D82">
        <w:t xml:space="preserve"> </w:t>
      </w:r>
      <w:r w:rsidR="00990242">
        <w:t>100%-bit</w:t>
      </w:r>
      <w:r w:rsidR="00D15E78">
        <w:t xml:space="preserve"> yield</w:t>
      </w:r>
      <w:r w:rsidR="00990242">
        <w:t xml:space="preserve"> on </w:t>
      </w:r>
      <w:r>
        <w:t>a 16-</w:t>
      </w:r>
      <w:r w:rsidR="00A917BA">
        <w:t xml:space="preserve">kbit </w:t>
      </w:r>
      <w:proofErr w:type="spellStart"/>
      <w:r w:rsidR="009B3964" w:rsidRPr="009B3964">
        <w:rPr>
          <w:u w:val="single"/>
        </w:rPr>
        <w:t>N</w:t>
      </w:r>
      <w:r>
        <w:t>on</w:t>
      </w:r>
      <w:r w:rsidR="009B3964" w:rsidRPr="009B3964">
        <w:rPr>
          <w:u w:val="single"/>
        </w:rPr>
        <w:t>V</w:t>
      </w:r>
      <w:r>
        <w:t>olatile</w:t>
      </w:r>
      <w:proofErr w:type="spellEnd"/>
      <w:r>
        <w:t xml:space="preserve"> SRAM (NV</w:t>
      </w:r>
      <w:r w:rsidR="009B3964">
        <w:t>-</w:t>
      </w:r>
      <w:r>
        <w:t>SRAM) array based on a metal/ferroelectric/metal capacitor using a sub</w:t>
      </w:r>
      <w:r w:rsidR="005A260F">
        <w:t>-</w:t>
      </w:r>
      <w:r>
        <w:t>10</w:t>
      </w:r>
      <w:r w:rsidR="00FF12BA">
        <w:t>-</w:t>
      </w:r>
      <w:r>
        <w:t>nm</w:t>
      </w:r>
      <w:r w:rsidR="005A260F">
        <w:t xml:space="preserve"> </w:t>
      </w:r>
      <w:r>
        <w:t xml:space="preserve">thick </w:t>
      </w:r>
      <w:proofErr w:type="spellStart"/>
      <w:r>
        <w:t>HfZrO</w:t>
      </w:r>
      <w:r w:rsidRPr="005B752F">
        <w:rPr>
          <w:vertAlign w:val="subscript"/>
        </w:rPr>
        <w:t>x</w:t>
      </w:r>
      <w:proofErr w:type="spellEnd"/>
      <w:r>
        <w:t xml:space="preserve"> (HZO) layer. This capacitor is formed using the same integration process as that of a previously developed ferroelectric random-access memory (FeRAM) array on the same wafer. Its sequential operations of nonvolatile data store, cutoff of power supply (power-gatin</w:t>
      </w:r>
      <w:r w:rsidR="001C703C">
        <w:t>g)</w:t>
      </w:r>
      <w:r>
        <w:t xml:space="preserve">, and data recall are completely executed employing a robust </w:t>
      </w:r>
      <w:r w:rsidR="00B926CA">
        <w:t>r</w:t>
      </w:r>
      <w:r>
        <w:t xml:space="preserve">ecall sequence, achieving 100%-bit recall after a 200-s </w:t>
      </w:r>
      <w:r w:rsidR="001C703C">
        <w:t>power-gating</w:t>
      </w:r>
      <w:r>
        <w:t xml:space="preserve"> period at 85 °C even with sufficiently low operation voltage. </w:t>
      </w:r>
      <w:r w:rsidR="00B926CA">
        <w:t xml:space="preserve">Sony’s </w:t>
      </w:r>
      <w:r>
        <w:t>results indicate that HZO-based NV</w:t>
      </w:r>
      <w:r w:rsidR="009B3964">
        <w:t>-</w:t>
      </w:r>
      <w:r>
        <w:t>SRAM and FeRAM hybrid memory system can provide ultra-low power advantages in a System-on-Chip for Internet of Things edge computing</w:t>
      </w:r>
      <w:r w:rsidR="008907EC">
        <w:t>.</w:t>
      </w:r>
    </w:p>
    <w:p w14:paraId="2F17FB59" w14:textId="77777777" w:rsidR="008907EC" w:rsidRPr="007D7AAD" w:rsidRDefault="008907EC" w:rsidP="008907EC">
      <w:pPr>
        <w:jc w:val="both"/>
        <w:rPr>
          <w:sz w:val="8"/>
          <w:szCs w:val="8"/>
        </w:rPr>
      </w:pPr>
    </w:p>
    <w:p w14:paraId="478D3798" w14:textId="55D16362" w:rsidR="001B1E7E" w:rsidRPr="00F71E58" w:rsidRDefault="001B1E7E" w:rsidP="009E557E">
      <w:pPr>
        <w:pStyle w:val="Heading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Beyond CMOS</w:t>
      </w:r>
      <w:r w:rsidRPr="00F71E58">
        <w:rPr>
          <w:b/>
          <w:bCs/>
          <w:sz w:val="24"/>
          <w:szCs w:val="24"/>
        </w:rPr>
        <w:t xml:space="preserve"> Technology</w:t>
      </w:r>
    </w:p>
    <w:p w14:paraId="0F9A95EB" w14:textId="01C59895" w:rsidR="001B1E7E" w:rsidRPr="005B752F" w:rsidRDefault="001B1E7E" w:rsidP="009E557E">
      <w:pPr>
        <w:rPr>
          <w:i/>
          <w:iCs/>
        </w:rPr>
      </w:pPr>
      <w:r w:rsidRPr="005B752F">
        <w:rPr>
          <w:i/>
          <w:iCs/>
        </w:rPr>
        <w:t>“</w:t>
      </w:r>
      <w:r w:rsidR="00F3560A" w:rsidRPr="00A917BA">
        <w:rPr>
          <w:i/>
          <w:iCs/>
        </w:rPr>
        <w:t>Highly Robust All-Oxide Transistors with Ultrathin In</w:t>
      </w:r>
      <w:r w:rsidR="00F3560A" w:rsidRPr="00EB4B03">
        <w:rPr>
          <w:i/>
          <w:iCs/>
          <w:vertAlign w:val="subscript"/>
        </w:rPr>
        <w:t>2</w:t>
      </w:r>
      <w:r w:rsidR="00F3560A" w:rsidRPr="00A917BA">
        <w:rPr>
          <w:i/>
          <w:iCs/>
        </w:rPr>
        <w:t>O</w:t>
      </w:r>
      <w:r w:rsidR="00F3560A" w:rsidRPr="00EB4B03">
        <w:rPr>
          <w:i/>
          <w:iCs/>
          <w:vertAlign w:val="subscript"/>
        </w:rPr>
        <w:t>3</w:t>
      </w:r>
      <w:r w:rsidR="00F3560A" w:rsidRPr="00A917BA">
        <w:rPr>
          <w:i/>
          <w:iCs/>
        </w:rPr>
        <w:t xml:space="preserve"> as Channel and Thick In</w:t>
      </w:r>
      <w:r w:rsidR="00F3560A" w:rsidRPr="00EB4B03">
        <w:rPr>
          <w:i/>
          <w:iCs/>
          <w:vertAlign w:val="subscript"/>
        </w:rPr>
        <w:t>2</w:t>
      </w:r>
      <w:r w:rsidR="00F3560A" w:rsidRPr="00A917BA">
        <w:rPr>
          <w:i/>
          <w:iCs/>
        </w:rPr>
        <w:t>O</w:t>
      </w:r>
      <w:r w:rsidR="00F3560A" w:rsidRPr="00EB4B03">
        <w:rPr>
          <w:i/>
          <w:iCs/>
          <w:vertAlign w:val="subscript"/>
        </w:rPr>
        <w:t>3</w:t>
      </w:r>
      <w:r w:rsidR="00F3560A" w:rsidRPr="00A917BA">
        <w:rPr>
          <w:i/>
          <w:iCs/>
        </w:rPr>
        <w:t xml:space="preserve"> as Metal Gate Towards Vertical Logic and Memory</w:t>
      </w:r>
      <w:r w:rsidRPr="005B752F">
        <w:rPr>
          <w:i/>
          <w:iCs/>
        </w:rPr>
        <w:t xml:space="preserve">” – </w:t>
      </w:r>
      <w:r w:rsidR="00765DFB" w:rsidRPr="00A917BA">
        <w:rPr>
          <w:i/>
          <w:iCs/>
        </w:rPr>
        <w:t>Purdue University</w:t>
      </w:r>
      <w:r w:rsidR="008B2E81">
        <w:rPr>
          <w:i/>
          <w:iCs/>
        </w:rPr>
        <w:t xml:space="preserve"> and Samsung Electronics</w:t>
      </w:r>
      <w:r w:rsidR="005932DE">
        <w:rPr>
          <w:i/>
          <w:iCs/>
        </w:rPr>
        <w:t xml:space="preserve"> (Paper T4.1)</w:t>
      </w:r>
    </w:p>
    <w:p w14:paraId="387607BA" w14:textId="77777777" w:rsidR="001B1E7E" w:rsidRDefault="001B1E7E" w:rsidP="009E557E"/>
    <w:p w14:paraId="23133C9E" w14:textId="4734DC4C" w:rsidR="001B1E7E" w:rsidRDefault="00695433" w:rsidP="009E557E">
      <w:r>
        <w:t xml:space="preserve">In this work, </w:t>
      </w:r>
      <w:r w:rsidR="008B2E81">
        <w:t xml:space="preserve">collaborators at </w:t>
      </w:r>
      <w:r w:rsidR="00EC3E0F">
        <w:t>Purdue University</w:t>
      </w:r>
      <w:r w:rsidR="008B2E81">
        <w:t xml:space="preserve"> and Samsung</w:t>
      </w:r>
      <w:r>
        <w:t xml:space="preserve"> report for the first time atomic-layer-deposited (ALD) all-oxide transistors toward 3-D vertical integration, with thick ALD In</w:t>
      </w:r>
      <w:r w:rsidRPr="00A06941">
        <w:rPr>
          <w:vertAlign w:val="subscript"/>
        </w:rPr>
        <w:t>2</w:t>
      </w:r>
      <w:r>
        <w:t>O</w:t>
      </w:r>
      <w:r w:rsidRPr="00A06941">
        <w:rPr>
          <w:vertAlign w:val="subscript"/>
        </w:rPr>
        <w:t>3</w:t>
      </w:r>
      <w:r>
        <w:t xml:space="preserve"> as gate electrodes and In</w:t>
      </w:r>
      <w:r w:rsidRPr="00A06941">
        <w:rPr>
          <w:vertAlign w:val="subscript"/>
        </w:rPr>
        <w:t>2</w:t>
      </w:r>
      <w:r>
        <w:t>O</w:t>
      </w:r>
      <w:r w:rsidRPr="00A06941">
        <w:rPr>
          <w:vertAlign w:val="subscript"/>
        </w:rPr>
        <w:t>3</w:t>
      </w:r>
      <w:r>
        <w:t xml:space="preserve"> itself as contact. The all-oxide </w:t>
      </w:r>
      <w:r w:rsidR="00EC3E0F" w:rsidRPr="0062147D">
        <w:rPr>
          <w:u w:val="single"/>
        </w:rPr>
        <w:t>T</w:t>
      </w:r>
      <w:r>
        <w:t>hin</w:t>
      </w:r>
      <w:r w:rsidR="00EC3E0F">
        <w:t>-</w:t>
      </w:r>
      <w:r w:rsidR="0062147D" w:rsidRPr="0062147D">
        <w:rPr>
          <w:u w:val="single"/>
        </w:rPr>
        <w:t>F</w:t>
      </w:r>
      <w:r>
        <w:t xml:space="preserve">ilm </w:t>
      </w:r>
      <w:r w:rsidR="0062147D" w:rsidRPr="0062147D">
        <w:rPr>
          <w:u w:val="single"/>
        </w:rPr>
        <w:t>T</w:t>
      </w:r>
      <w:r>
        <w:t xml:space="preserve">ransistors (TFTs) show an on/off ratio over 106, high uniformity, and very robust reliability with a </w:t>
      </w:r>
      <w:r>
        <w:lastRenderedPageBreak/>
        <w:t>threshold voltage shift</w:t>
      </w:r>
      <w:r w:rsidR="00DD34F5">
        <w:t xml:space="preserve"> </w:t>
      </w:r>
      <w:r>
        <w:t>of 5 and 50 mV in positive and negative bias stress tests. The vertically all-oxide TFTs demonstrate good control from side wall with on/off ratio over 105 and maximum current (I</w:t>
      </w:r>
      <w:r w:rsidRPr="005B752F">
        <w:rPr>
          <w:vertAlign w:val="subscript"/>
        </w:rPr>
        <w:t>max</w:t>
      </w:r>
      <w:r>
        <w:t xml:space="preserve">) over 160 </w:t>
      </w:r>
      <w:proofErr w:type="spellStart"/>
      <w:r>
        <w:t>μA</w:t>
      </w:r>
      <w:proofErr w:type="spellEnd"/>
      <w:r>
        <w:t>/</w:t>
      </w:r>
      <w:proofErr w:type="spellStart"/>
      <w:r>
        <w:t>μm</w:t>
      </w:r>
      <w:proofErr w:type="spellEnd"/>
      <w:r>
        <w:t xml:space="preserve">. </w:t>
      </w:r>
      <w:r w:rsidR="0011791B">
        <w:t xml:space="preserve">Furthermore, </w:t>
      </w:r>
      <w:r>
        <w:t>vertically all-oxide ferroelectric field-effect transistors (Fe-FETs) exhibit a memory window of 1.85 V, with an endurance and retention extended to 10</w:t>
      </w:r>
      <w:r w:rsidRPr="005B752F">
        <w:rPr>
          <w:vertAlign w:val="superscript"/>
        </w:rPr>
        <w:t>12</w:t>
      </w:r>
      <w:r>
        <w:t xml:space="preserve"> cycles and 10 years. This </w:t>
      </w:r>
      <w:r w:rsidR="00AB2FD9">
        <w:t>illustrates that</w:t>
      </w:r>
      <w:r>
        <w:t xml:space="preserve"> the vertically all</w:t>
      </w:r>
      <w:r w:rsidR="00DD34F5">
        <w:t>-</w:t>
      </w:r>
      <w:r>
        <w:t>oxide device based on ALD oxide semiconductor is a good candidate toward future high-density integrated circuits</w:t>
      </w:r>
      <w:r w:rsidR="001B1E7E">
        <w:t>.</w:t>
      </w:r>
    </w:p>
    <w:p w14:paraId="34094F44" w14:textId="77777777" w:rsidR="001B1E7E" w:rsidRPr="007D7AAD" w:rsidRDefault="001B1E7E" w:rsidP="001B1E7E">
      <w:pPr>
        <w:jc w:val="both"/>
        <w:rPr>
          <w:sz w:val="8"/>
          <w:szCs w:val="8"/>
        </w:rPr>
      </w:pPr>
    </w:p>
    <w:p w14:paraId="0643E288" w14:textId="77777777" w:rsidR="001005C3" w:rsidRPr="005B752F" w:rsidRDefault="001005C3" w:rsidP="005B752F"/>
    <w:p w14:paraId="033AB246" w14:textId="0C082B6D" w:rsidR="003319E4" w:rsidRPr="008A4472" w:rsidRDefault="003319E4" w:rsidP="008A4472">
      <w:pPr>
        <w:pStyle w:val="Heading2"/>
        <w:spacing w:befor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Circuits </w:t>
      </w:r>
      <w:r w:rsidRPr="00F71E58">
        <w:rPr>
          <w:b/>
          <w:bCs/>
          <w:sz w:val="32"/>
          <w:szCs w:val="32"/>
        </w:rPr>
        <w:t>Highlights</w:t>
      </w:r>
    </w:p>
    <w:p w14:paraId="450E79D5" w14:textId="77777777" w:rsidR="00AD1D04" w:rsidRDefault="00AD1D04" w:rsidP="00C420CC">
      <w:pPr>
        <w:pStyle w:val="Heading3"/>
      </w:pPr>
      <w:r>
        <w:rPr>
          <w:b/>
          <w:bCs/>
          <w:sz w:val="24"/>
          <w:szCs w:val="24"/>
        </w:rPr>
        <w:t>Processors and SoCs</w:t>
      </w:r>
    </w:p>
    <w:p w14:paraId="5764B246" w14:textId="343B1368" w:rsidR="00AD1D04" w:rsidRDefault="00AD1D04" w:rsidP="00C420CC">
      <w:pPr>
        <w:pStyle w:val="Heading3"/>
        <w:spacing w:before="0" w:after="0"/>
        <w:rPr>
          <w:i/>
          <w:iCs/>
          <w:sz w:val="22"/>
          <w:szCs w:val="22"/>
        </w:rPr>
      </w:pPr>
      <w:r w:rsidRPr="007650F7">
        <w:rPr>
          <w:i/>
          <w:iCs/>
          <w:sz w:val="22"/>
          <w:szCs w:val="22"/>
        </w:rPr>
        <w:t>“</w:t>
      </w:r>
      <w:proofErr w:type="spellStart"/>
      <w:r w:rsidRPr="006B2A10">
        <w:rPr>
          <w:i/>
          <w:iCs/>
          <w:sz w:val="22"/>
          <w:szCs w:val="22"/>
        </w:rPr>
        <w:t>Occamy</w:t>
      </w:r>
      <w:proofErr w:type="spellEnd"/>
      <w:r w:rsidRPr="006B2A10">
        <w:rPr>
          <w:i/>
          <w:iCs/>
          <w:sz w:val="22"/>
          <w:szCs w:val="22"/>
        </w:rPr>
        <w:t>: A 432-Core 28.1 DP-GFLOP/s/W 83% FPU Utilization Dual-</w:t>
      </w:r>
      <w:proofErr w:type="spellStart"/>
      <w:r w:rsidRPr="006B2A10">
        <w:rPr>
          <w:i/>
          <w:iCs/>
          <w:sz w:val="22"/>
          <w:szCs w:val="22"/>
        </w:rPr>
        <w:t>Chiplet</w:t>
      </w:r>
      <w:proofErr w:type="spellEnd"/>
      <w:r w:rsidRPr="006B2A10">
        <w:rPr>
          <w:i/>
          <w:iCs/>
          <w:sz w:val="22"/>
          <w:szCs w:val="22"/>
        </w:rPr>
        <w:t>, Dual-HBM2E RISC-V-based Accelerator for Stencil and Sparse Linear Algebra Computations with 8-to-64-bit Floating-Point Support in 12nm FinFET</w:t>
      </w:r>
      <w:r w:rsidRPr="007650F7">
        <w:rPr>
          <w:i/>
          <w:iCs/>
          <w:sz w:val="22"/>
          <w:szCs w:val="22"/>
        </w:rPr>
        <w:t xml:space="preserve">” – </w:t>
      </w:r>
      <w:r>
        <w:rPr>
          <w:i/>
          <w:iCs/>
          <w:sz w:val="22"/>
          <w:szCs w:val="22"/>
        </w:rPr>
        <w:t>ETH Zürich, Stanford University, and University of Bologna</w:t>
      </w:r>
      <w:r w:rsidR="00F60D62">
        <w:rPr>
          <w:i/>
          <w:iCs/>
          <w:sz w:val="22"/>
          <w:szCs w:val="22"/>
        </w:rPr>
        <w:t xml:space="preserve"> (Paper C7.4)</w:t>
      </w:r>
    </w:p>
    <w:p w14:paraId="4D1815B9" w14:textId="77777777" w:rsidR="00AD1D04" w:rsidRDefault="00AD1D04" w:rsidP="00C420C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7B2F6933" w14:textId="3242D25A" w:rsidR="00AD1D04" w:rsidRPr="008A4472" w:rsidRDefault="00AD1D04" w:rsidP="008A4472">
      <w:pPr>
        <w:pStyle w:val="Heading3"/>
        <w:spacing w:before="0" w:after="0"/>
        <w:rPr>
          <w:rFonts w:cstheme="minorHAnsi"/>
          <w:sz w:val="22"/>
          <w:szCs w:val="22"/>
        </w:rPr>
      </w:pPr>
      <w:r w:rsidRPr="004A539D">
        <w:rPr>
          <w:rFonts w:cstheme="minorHAnsi"/>
          <w:sz w:val="22"/>
          <w:szCs w:val="22"/>
        </w:rPr>
        <w:t xml:space="preserve">Collaborators at ETH </w:t>
      </w:r>
      <w:r w:rsidRPr="007650F7">
        <w:rPr>
          <w:rFonts w:cstheme="minorHAnsi"/>
          <w:sz w:val="22"/>
          <w:szCs w:val="22"/>
        </w:rPr>
        <w:t>Zürich</w:t>
      </w:r>
      <w:r w:rsidRPr="004A539D">
        <w:rPr>
          <w:rFonts w:cstheme="minorHAnsi"/>
          <w:sz w:val="22"/>
          <w:szCs w:val="22"/>
        </w:rPr>
        <w:t xml:space="preserve">, Stanford University, and the University of Bologna </w:t>
      </w:r>
      <w:r w:rsidRPr="007650F7">
        <w:rPr>
          <w:rFonts w:cstheme="minorHAnsi"/>
          <w:sz w:val="22"/>
          <w:szCs w:val="22"/>
        </w:rPr>
        <w:t>present</w:t>
      </w:r>
      <w:r w:rsidRPr="004A539D">
        <w:rPr>
          <w:rFonts w:cstheme="minorHAnsi"/>
          <w:sz w:val="22"/>
          <w:szCs w:val="22"/>
        </w:rPr>
        <w:t xml:space="preserve"> a </w:t>
      </w:r>
      <w:r w:rsidRPr="007650F7">
        <w:rPr>
          <w:rFonts w:cstheme="minorHAnsi"/>
          <w:sz w:val="22"/>
          <w:szCs w:val="22"/>
        </w:rPr>
        <w:t>flexible, general-purpose, dual-</w:t>
      </w:r>
      <w:proofErr w:type="spellStart"/>
      <w:r w:rsidRPr="007650F7">
        <w:rPr>
          <w:rFonts w:cstheme="minorHAnsi"/>
          <w:sz w:val="22"/>
          <w:szCs w:val="22"/>
        </w:rPr>
        <w:t>chiplet</w:t>
      </w:r>
      <w:proofErr w:type="spellEnd"/>
      <w:r w:rsidRPr="007650F7">
        <w:rPr>
          <w:rFonts w:cstheme="minorHAnsi"/>
          <w:sz w:val="22"/>
          <w:szCs w:val="22"/>
        </w:rPr>
        <w:t xml:space="preserve"> system with two 16</w:t>
      </w:r>
      <w:r>
        <w:rPr>
          <w:rFonts w:cstheme="minorHAnsi"/>
          <w:sz w:val="22"/>
          <w:szCs w:val="22"/>
        </w:rPr>
        <w:t>-</w:t>
      </w:r>
      <w:r w:rsidRPr="007650F7">
        <w:rPr>
          <w:rFonts w:cstheme="minorHAnsi"/>
          <w:sz w:val="22"/>
          <w:szCs w:val="22"/>
        </w:rPr>
        <w:t xml:space="preserve">GB HBM2E stacks optimized </w:t>
      </w:r>
      <w:r>
        <w:rPr>
          <w:rFonts w:cstheme="minorHAnsi"/>
          <w:sz w:val="22"/>
          <w:szCs w:val="22"/>
        </w:rPr>
        <w:t>to address</w:t>
      </w:r>
      <w:r w:rsidRPr="007650F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a </w:t>
      </w:r>
      <w:r w:rsidRPr="007650F7">
        <w:rPr>
          <w:rFonts w:cstheme="minorHAnsi"/>
          <w:sz w:val="22"/>
          <w:szCs w:val="22"/>
        </w:rPr>
        <w:t>wide range of irregular-memory-access compute workloads</w:t>
      </w:r>
      <w:r>
        <w:rPr>
          <w:rFonts w:cstheme="minorHAnsi"/>
          <w:sz w:val="22"/>
          <w:szCs w:val="22"/>
        </w:rPr>
        <w:t xml:space="preserve"> with high utilization</w:t>
      </w:r>
      <w:r w:rsidRPr="007650F7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Codenamed</w:t>
      </w:r>
      <w:r w:rsidRPr="007650F7">
        <w:rPr>
          <w:rFonts w:cstheme="minorHAnsi"/>
          <w:sz w:val="22"/>
          <w:szCs w:val="22"/>
        </w:rPr>
        <w:t xml:space="preserve"> </w:t>
      </w:r>
      <w:proofErr w:type="spellStart"/>
      <w:r w:rsidRPr="007650F7">
        <w:rPr>
          <w:rFonts w:cstheme="minorHAnsi"/>
          <w:sz w:val="22"/>
          <w:szCs w:val="22"/>
        </w:rPr>
        <w:t>Occamy</w:t>
      </w:r>
      <w:proofErr w:type="spellEnd"/>
      <w:r w:rsidRPr="007650F7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the heterogeneous system comprises </w:t>
      </w:r>
      <w:r w:rsidRPr="007650F7">
        <w:rPr>
          <w:rFonts w:cstheme="minorHAnsi"/>
          <w:sz w:val="22"/>
          <w:szCs w:val="22"/>
        </w:rPr>
        <w:t>a 432-core RISC-V dual-</w:t>
      </w:r>
      <w:proofErr w:type="spellStart"/>
      <w:r w:rsidRPr="007650F7">
        <w:rPr>
          <w:rFonts w:cstheme="minorHAnsi"/>
          <w:sz w:val="22"/>
          <w:szCs w:val="22"/>
        </w:rPr>
        <w:t>chiplet</w:t>
      </w:r>
      <w:proofErr w:type="spellEnd"/>
      <w:r w:rsidRPr="007650F7">
        <w:rPr>
          <w:rFonts w:cstheme="minorHAnsi"/>
          <w:sz w:val="22"/>
          <w:szCs w:val="22"/>
        </w:rPr>
        <w:t xml:space="preserve"> 2.5</w:t>
      </w:r>
      <w:r>
        <w:rPr>
          <w:rFonts w:cstheme="minorHAnsi"/>
          <w:sz w:val="22"/>
          <w:szCs w:val="22"/>
        </w:rPr>
        <w:t>-</w:t>
      </w:r>
      <w:r w:rsidRPr="007650F7">
        <w:rPr>
          <w:rFonts w:cstheme="minorHAnsi"/>
          <w:sz w:val="22"/>
          <w:szCs w:val="22"/>
        </w:rPr>
        <w:t xml:space="preserve">D system for efficient sparse linear algebra and stencil computations on FP64 and narrow (32-, 16-, 8-bit) SIMD </w:t>
      </w:r>
      <w:r>
        <w:rPr>
          <w:rFonts w:cstheme="minorHAnsi"/>
          <w:sz w:val="22"/>
          <w:szCs w:val="22"/>
        </w:rPr>
        <w:t>floating-point</w:t>
      </w:r>
      <w:r w:rsidRPr="007650F7">
        <w:rPr>
          <w:rFonts w:cstheme="minorHAnsi"/>
          <w:sz w:val="22"/>
          <w:szCs w:val="22"/>
        </w:rPr>
        <w:t xml:space="preserve"> data. </w:t>
      </w:r>
      <w:proofErr w:type="spellStart"/>
      <w:r w:rsidRPr="007650F7">
        <w:rPr>
          <w:rFonts w:cstheme="minorHAnsi"/>
          <w:sz w:val="22"/>
          <w:szCs w:val="22"/>
        </w:rPr>
        <w:t>Occamy</w:t>
      </w:r>
      <w:proofErr w:type="spellEnd"/>
      <w:r w:rsidRPr="007650F7">
        <w:rPr>
          <w:rFonts w:cstheme="minorHAnsi"/>
          <w:sz w:val="22"/>
          <w:szCs w:val="22"/>
        </w:rPr>
        <w:t xml:space="preserve"> features 48 clusters of RISC-V cores with custom extensions, two 64-bit host cores, and a latency-tolerant multi-</w:t>
      </w:r>
      <w:proofErr w:type="spellStart"/>
      <w:r w:rsidRPr="007650F7">
        <w:rPr>
          <w:rFonts w:cstheme="minorHAnsi"/>
          <w:sz w:val="22"/>
          <w:szCs w:val="22"/>
        </w:rPr>
        <w:t>chiplet</w:t>
      </w:r>
      <w:proofErr w:type="spellEnd"/>
      <w:r w:rsidRPr="007650F7">
        <w:rPr>
          <w:rFonts w:cstheme="minorHAnsi"/>
          <w:sz w:val="22"/>
          <w:szCs w:val="22"/>
        </w:rPr>
        <w:t xml:space="preserve"> interconnect and memory system with 32 GB of HBM2E. </w:t>
      </w:r>
      <w:r>
        <w:rPr>
          <w:rFonts w:cstheme="minorHAnsi"/>
          <w:sz w:val="22"/>
          <w:szCs w:val="22"/>
        </w:rPr>
        <w:t>Silicon demonstrates</w:t>
      </w:r>
      <w:r w:rsidRPr="007650F7">
        <w:rPr>
          <w:rFonts w:cstheme="minorHAnsi"/>
          <w:sz w:val="22"/>
          <w:szCs w:val="22"/>
        </w:rPr>
        <w:t xml:space="preserve"> leading-edge utilization on stencils (83%), sparse-dense (42%), and sparse-sparse (49%) matrix multipl</w:t>
      </w:r>
      <w:r>
        <w:rPr>
          <w:rFonts w:cstheme="minorHAnsi"/>
          <w:sz w:val="22"/>
          <w:szCs w:val="22"/>
        </w:rPr>
        <w:t>ication</w:t>
      </w:r>
      <w:r w:rsidRPr="007650F7">
        <w:rPr>
          <w:rFonts w:cstheme="minorHAnsi"/>
          <w:sz w:val="22"/>
          <w:szCs w:val="22"/>
        </w:rPr>
        <w:t xml:space="preserve">. </w:t>
      </w:r>
    </w:p>
    <w:p w14:paraId="731662EB" w14:textId="3BCA42AF" w:rsidR="003312E7" w:rsidRDefault="003312E7" w:rsidP="00C420CC">
      <w:pPr>
        <w:pStyle w:val="Heading3"/>
      </w:pPr>
      <w:r>
        <w:rPr>
          <w:b/>
          <w:bCs/>
          <w:sz w:val="24"/>
          <w:szCs w:val="24"/>
        </w:rPr>
        <w:t>Devices and Accelerators for Machine Learning</w:t>
      </w:r>
    </w:p>
    <w:p w14:paraId="3CDDD971" w14:textId="7BBE4CD4" w:rsidR="003312E7" w:rsidRDefault="003312E7" w:rsidP="00C420CC">
      <w:pPr>
        <w:pStyle w:val="Heading3"/>
        <w:spacing w:before="0" w:after="0"/>
        <w:rPr>
          <w:i/>
          <w:iCs/>
          <w:sz w:val="22"/>
          <w:szCs w:val="22"/>
        </w:rPr>
      </w:pPr>
      <w:r w:rsidRPr="007650F7">
        <w:rPr>
          <w:i/>
          <w:iCs/>
          <w:sz w:val="22"/>
          <w:szCs w:val="22"/>
        </w:rPr>
        <w:t>“</w:t>
      </w:r>
      <w:r w:rsidRPr="006B2A10">
        <w:rPr>
          <w:i/>
          <w:iCs/>
          <w:sz w:val="22"/>
          <w:szCs w:val="22"/>
        </w:rPr>
        <w:t>Dyamond: A 1T1C DRAM In-memory Computing Accelerator with Compact MAC-SIMD and Adaptive Column Addition Dataflow</w:t>
      </w:r>
      <w:r w:rsidRPr="007650F7">
        <w:rPr>
          <w:i/>
          <w:iCs/>
          <w:sz w:val="22"/>
          <w:szCs w:val="22"/>
        </w:rPr>
        <w:t xml:space="preserve">” – </w:t>
      </w:r>
      <w:r>
        <w:rPr>
          <w:i/>
          <w:iCs/>
          <w:sz w:val="22"/>
          <w:szCs w:val="22"/>
        </w:rPr>
        <w:t>KAIST</w:t>
      </w:r>
      <w:r w:rsidR="00277CB2">
        <w:rPr>
          <w:i/>
          <w:iCs/>
          <w:sz w:val="22"/>
          <w:szCs w:val="22"/>
        </w:rPr>
        <w:t xml:space="preserve"> and Samsung Electronics</w:t>
      </w:r>
      <w:r w:rsidR="00F60D62">
        <w:rPr>
          <w:i/>
          <w:iCs/>
          <w:sz w:val="22"/>
          <w:szCs w:val="22"/>
        </w:rPr>
        <w:t xml:space="preserve"> (Paper C20.1)</w:t>
      </w:r>
    </w:p>
    <w:p w14:paraId="223DE88F" w14:textId="77777777" w:rsidR="00A31571" w:rsidRDefault="00A31571" w:rsidP="00C420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0"/>
        </w:rPr>
      </w:pPr>
    </w:p>
    <w:p w14:paraId="25EB987F" w14:textId="2CA0366D" w:rsidR="003312E7" w:rsidRPr="005B752F" w:rsidRDefault="00AD1D04" w:rsidP="00C420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9"/>
          <w:szCs w:val="19"/>
        </w:rPr>
      </w:pPr>
      <w:r>
        <w:rPr>
          <w:rFonts w:asciiTheme="minorHAnsi" w:hAnsiTheme="minorHAnsi" w:cstheme="minorHAnsi"/>
          <w:color w:val="000000"/>
          <w:kern w:val="0"/>
        </w:rPr>
        <w:t>Collaborators at KAIST and Samsung Electronics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 xml:space="preserve"> </w:t>
      </w:r>
      <w:r>
        <w:rPr>
          <w:rFonts w:asciiTheme="minorHAnsi" w:hAnsiTheme="minorHAnsi" w:cstheme="minorHAnsi"/>
          <w:color w:val="000000"/>
          <w:kern w:val="0"/>
        </w:rPr>
        <w:t>propose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 xml:space="preserve"> a 1T1C DRAM in-memory</w:t>
      </w:r>
      <w:r w:rsidR="00A31571">
        <w:rPr>
          <w:rFonts w:asciiTheme="minorHAnsi" w:hAnsiTheme="minorHAnsi" w:cstheme="minorHAnsi"/>
          <w:color w:val="000000"/>
          <w:kern w:val="0"/>
        </w:rPr>
        <w:t xml:space="preserve">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computing accelerator</w:t>
      </w:r>
      <w:r>
        <w:rPr>
          <w:rFonts w:asciiTheme="minorHAnsi" w:hAnsiTheme="minorHAnsi" w:cstheme="minorHAnsi"/>
          <w:color w:val="000000"/>
          <w:kern w:val="0"/>
        </w:rPr>
        <w:t xml:space="preserve"> to </w:t>
      </w:r>
      <w:r w:rsidRPr="00AD1D04">
        <w:rPr>
          <w:rFonts w:asciiTheme="minorHAnsi" w:hAnsiTheme="minorHAnsi" w:cstheme="minorHAnsi"/>
          <w:color w:val="000000"/>
          <w:kern w:val="0"/>
        </w:rPr>
        <w:t xml:space="preserve">exploit </w:t>
      </w:r>
      <w:r w:rsidRPr="005B752F">
        <w:rPr>
          <w:rFonts w:asciiTheme="minorHAnsi" w:hAnsiTheme="minorHAnsi" w:cstheme="minorHAnsi"/>
          <w:color w:val="000000"/>
          <w:kern w:val="0"/>
        </w:rPr>
        <w:t>increased memory density with enhanced system energy efficiency by reducing memory access</w:t>
      </w:r>
      <w:r>
        <w:rPr>
          <w:rFonts w:asciiTheme="minorHAnsi" w:hAnsiTheme="minorHAnsi" w:cstheme="minorHAnsi"/>
          <w:color w:val="000000"/>
          <w:kern w:val="0"/>
        </w:rPr>
        <w:t>. Codenamed Dyamond, the accelerator features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 xml:space="preserve"> column addition (CA) dataflow</w:t>
      </w:r>
      <w:r w:rsidR="00A31571">
        <w:rPr>
          <w:rFonts w:asciiTheme="minorHAnsi" w:hAnsiTheme="minorHAnsi" w:cstheme="minorHAnsi"/>
          <w:color w:val="000000"/>
          <w:kern w:val="0"/>
        </w:rPr>
        <w:t xml:space="preserve">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for high density and energy efficiency. LSB-CA minimizes</w:t>
      </w:r>
      <w:r w:rsidR="00A31571">
        <w:rPr>
          <w:rFonts w:asciiTheme="minorHAnsi" w:hAnsiTheme="minorHAnsi" w:cstheme="minorHAnsi"/>
          <w:color w:val="000000"/>
          <w:kern w:val="0"/>
        </w:rPr>
        <w:t xml:space="preserve">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ADC readouts to increase energy efficiency. MSB-CA with</w:t>
      </w:r>
      <w:r w:rsidR="00A31571">
        <w:rPr>
          <w:rFonts w:asciiTheme="minorHAnsi" w:hAnsiTheme="minorHAnsi" w:cstheme="minorHAnsi"/>
          <w:color w:val="000000"/>
          <w:kern w:val="0"/>
        </w:rPr>
        <w:t xml:space="preserve">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 xml:space="preserve">signal-enhanced </w:t>
      </w:r>
      <w:r>
        <w:rPr>
          <w:rFonts w:asciiTheme="minorHAnsi" w:hAnsiTheme="minorHAnsi" w:cstheme="minorHAnsi"/>
          <w:color w:val="000000"/>
          <w:kern w:val="0"/>
        </w:rPr>
        <w:t>multiple-accumulate (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MAC</w:t>
      </w:r>
      <w:r>
        <w:rPr>
          <w:rFonts w:asciiTheme="minorHAnsi" w:hAnsiTheme="minorHAnsi" w:cstheme="minorHAnsi"/>
          <w:color w:val="000000"/>
          <w:kern w:val="0"/>
        </w:rPr>
        <w:t>)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 xml:space="preserve"> and signal-shifted ADC enhances</w:t>
      </w:r>
      <w:r w:rsidR="00A31571">
        <w:rPr>
          <w:rFonts w:asciiTheme="minorHAnsi" w:hAnsiTheme="minorHAnsi" w:cstheme="minorHAnsi"/>
          <w:color w:val="000000"/>
          <w:kern w:val="0"/>
        </w:rPr>
        <w:t xml:space="preserve">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SQNR</w:t>
      </w:r>
      <w:r>
        <w:rPr>
          <w:rFonts w:asciiTheme="minorHAnsi" w:hAnsiTheme="minorHAnsi" w:cstheme="minorHAnsi"/>
          <w:color w:val="000000"/>
          <w:kern w:val="0"/>
        </w:rPr>
        <w:t xml:space="preserve"> to further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improv</w:t>
      </w:r>
      <w:r>
        <w:rPr>
          <w:rFonts w:asciiTheme="minorHAnsi" w:hAnsiTheme="minorHAnsi" w:cstheme="minorHAnsi"/>
          <w:color w:val="000000"/>
          <w:kern w:val="0"/>
        </w:rPr>
        <w:t>e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 xml:space="preserve"> energy efficiency. A switchable sense</w:t>
      </w:r>
      <w:r w:rsidR="00A31571">
        <w:rPr>
          <w:rFonts w:asciiTheme="minorHAnsi" w:hAnsiTheme="minorHAnsi" w:cstheme="minorHAnsi"/>
          <w:color w:val="000000"/>
          <w:kern w:val="0"/>
        </w:rPr>
        <w:t xml:space="preserve">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amplifier reduces read energy for low-power in-memory</w:t>
      </w:r>
      <w:r w:rsidR="00A31571">
        <w:rPr>
          <w:rFonts w:asciiTheme="minorHAnsi" w:hAnsiTheme="minorHAnsi" w:cstheme="minorHAnsi"/>
          <w:color w:val="000000"/>
          <w:kern w:val="0"/>
        </w:rPr>
        <w:t xml:space="preserve">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 xml:space="preserve">arithmetic SIMD. </w:t>
      </w:r>
      <w:r>
        <w:rPr>
          <w:rFonts w:asciiTheme="minorHAnsi" w:hAnsiTheme="minorHAnsi" w:cstheme="minorHAnsi"/>
          <w:color w:val="000000"/>
          <w:kern w:val="0"/>
        </w:rPr>
        <w:t>F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abricated in 28nm CMOS</w:t>
      </w:r>
      <w:r>
        <w:rPr>
          <w:rFonts w:asciiTheme="minorHAnsi" w:hAnsiTheme="minorHAnsi" w:cstheme="minorHAnsi"/>
          <w:color w:val="000000"/>
          <w:kern w:val="0"/>
        </w:rPr>
        <w:t xml:space="preserve"> and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 xml:space="preserve"> integrating 27</w:t>
      </w:r>
      <w:r w:rsidR="00277CB2">
        <w:rPr>
          <w:rFonts w:asciiTheme="minorHAnsi" w:hAnsiTheme="minorHAnsi" w:cstheme="minorHAnsi"/>
          <w:color w:val="000000"/>
          <w:kern w:val="0"/>
        </w:rPr>
        <w:t>-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Mb DRAM memory within a</w:t>
      </w:r>
      <w:r w:rsidR="00A31571">
        <w:rPr>
          <w:rFonts w:asciiTheme="minorHAnsi" w:hAnsiTheme="minorHAnsi" w:cstheme="minorHAnsi"/>
          <w:color w:val="000000"/>
          <w:kern w:val="0"/>
        </w:rPr>
        <w:t xml:space="preserve">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6.48</w:t>
      </w:r>
      <w:r w:rsidR="00277CB2">
        <w:rPr>
          <w:rFonts w:asciiTheme="minorHAnsi" w:hAnsiTheme="minorHAnsi" w:cstheme="minorHAnsi"/>
          <w:color w:val="000000"/>
          <w:kern w:val="0"/>
        </w:rPr>
        <w:t>-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mm</w:t>
      </w:r>
      <w:r w:rsidR="00A31571" w:rsidRPr="005B752F">
        <w:rPr>
          <w:rFonts w:asciiTheme="minorHAnsi" w:hAnsiTheme="minorHAnsi" w:cstheme="minorHAnsi"/>
          <w:color w:val="000000"/>
          <w:kern w:val="0"/>
          <w:vertAlign w:val="superscript"/>
        </w:rPr>
        <w:t>2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 xml:space="preserve"> die area</w:t>
      </w:r>
      <w:r>
        <w:rPr>
          <w:rFonts w:asciiTheme="minorHAnsi" w:hAnsiTheme="minorHAnsi" w:cstheme="minorHAnsi"/>
          <w:color w:val="000000"/>
          <w:kern w:val="0"/>
        </w:rPr>
        <w:t>, Dyamond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 xml:space="preserve"> achieves </w:t>
      </w:r>
      <w:r>
        <w:rPr>
          <w:rFonts w:asciiTheme="minorHAnsi" w:hAnsiTheme="minorHAnsi" w:cstheme="minorHAnsi"/>
          <w:color w:val="000000"/>
          <w:kern w:val="0"/>
        </w:rPr>
        <w:t xml:space="preserve">a peak energy efficiency of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 xml:space="preserve">27.2 TOPS/W and outstanding performance in advanced </w:t>
      </w:r>
      <w:r>
        <w:rPr>
          <w:rFonts w:asciiTheme="minorHAnsi" w:hAnsiTheme="minorHAnsi" w:cstheme="minorHAnsi"/>
          <w:color w:val="000000"/>
          <w:kern w:val="0"/>
        </w:rPr>
        <w:t xml:space="preserve">ML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models</w:t>
      </w:r>
      <w:r w:rsidR="00A31571">
        <w:rPr>
          <w:rFonts w:asciiTheme="minorHAnsi" w:hAnsiTheme="minorHAnsi" w:cstheme="minorHAnsi"/>
          <w:color w:val="000000"/>
          <w:kern w:val="0"/>
        </w:rPr>
        <w:t xml:space="preserve"> </w:t>
      </w:r>
      <w:r w:rsidR="00A31571" w:rsidRPr="005B752F">
        <w:rPr>
          <w:rFonts w:asciiTheme="minorHAnsi" w:hAnsiTheme="minorHAnsi" w:cstheme="minorHAnsi"/>
          <w:color w:val="000000"/>
          <w:kern w:val="0"/>
        </w:rPr>
        <w:t>(</w:t>
      </w:r>
      <w:proofErr w:type="spellStart"/>
      <w:r w:rsidR="00A31571" w:rsidRPr="005B752F">
        <w:rPr>
          <w:rFonts w:asciiTheme="minorHAnsi" w:hAnsiTheme="minorHAnsi" w:cstheme="minorHAnsi"/>
          <w:color w:val="000000"/>
          <w:kern w:val="0"/>
        </w:rPr>
        <w:t>ResNet</w:t>
      </w:r>
      <w:proofErr w:type="spellEnd"/>
      <w:r w:rsidR="00A31571" w:rsidRPr="005B752F">
        <w:rPr>
          <w:rFonts w:asciiTheme="minorHAnsi" w:hAnsiTheme="minorHAnsi" w:cstheme="minorHAnsi"/>
          <w:color w:val="000000"/>
          <w:kern w:val="0"/>
        </w:rPr>
        <w:t>, BERT, GPT-2).</w:t>
      </w:r>
    </w:p>
    <w:p w14:paraId="587F1357" w14:textId="77777777" w:rsidR="00AD1D04" w:rsidRDefault="00AD1D04" w:rsidP="00A315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0"/>
        </w:rPr>
      </w:pPr>
    </w:p>
    <w:p w14:paraId="40E9609E" w14:textId="488C9D50" w:rsidR="00FD1246" w:rsidRDefault="00FD1246" w:rsidP="00A315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0"/>
        </w:rPr>
      </w:pPr>
    </w:p>
    <w:p w14:paraId="0C26F425" w14:textId="77777777" w:rsidR="008A4472" w:rsidRDefault="008A4472" w:rsidP="00A315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0"/>
        </w:rPr>
      </w:pPr>
    </w:p>
    <w:p w14:paraId="005650AF" w14:textId="77777777" w:rsidR="008A4472" w:rsidRDefault="008A4472" w:rsidP="00A315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0"/>
        </w:rPr>
      </w:pPr>
    </w:p>
    <w:p w14:paraId="7112ABA3" w14:textId="77777777" w:rsidR="003312E7" w:rsidRPr="007650F7" w:rsidRDefault="003312E7" w:rsidP="00C420CC">
      <w:pPr>
        <w:pStyle w:val="NormalWeb"/>
        <w:shd w:val="clear" w:color="auto" w:fill="FFFFFF"/>
        <w:spacing w:before="160" w:beforeAutospacing="0" w:after="80" w:afterAutospacing="0" w:line="276" w:lineRule="auto"/>
        <w:rPr>
          <w:rFonts w:asciiTheme="minorHAnsi" w:hAnsiTheme="minorHAnsi" w:cstheme="minorHAnsi"/>
          <w:b/>
          <w:bCs/>
        </w:rPr>
      </w:pPr>
      <w:r w:rsidRPr="007650F7">
        <w:rPr>
          <w:rFonts w:asciiTheme="minorHAnsi" w:hAnsiTheme="minorHAnsi" w:cstheme="minorHAnsi"/>
          <w:b/>
          <w:bCs/>
        </w:rPr>
        <w:t xml:space="preserve">Memory </w:t>
      </w:r>
      <w:r>
        <w:rPr>
          <w:rFonts w:asciiTheme="minorHAnsi" w:hAnsiTheme="minorHAnsi" w:cstheme="minorHAnsi"/>
          <w:b/>
          <w:bCs/>
        </w:rPr>
        <w:t>T</w:t>
      </w:r>
      <w:r w:rsidRPr="007650F7">
        <w:rPr>
          <w:rFonts w:asciiTheme="minorHAnsi" w:hAnsiTheme="minorHAnsi" w:cstheme="minorHAnsi"/>
          <w:b/>
          <w:bCs/>
        </w:rPr>
        <w:t xml:space="preserve">echnologies, </w:t>
      </w:r>
      <w:r>
        <w:rPr>
          <w:rFonts w:asciiTheme="minorHAnsi" w:hAnsiTheme="minorHAnsi" w:cstheme="minorHAnsi"/>
          <w:b/>
          <w:bCs/>
        </w:rPr>
        <w:t>D</w:t>
      </w:r>
      <w:r w:rsidRPr="007650F7">
        <w:rPr>
          <w:rFonts w:asciiTheme="minorHAnsi" w:hAnsiTheme="minorHAnsi" w:cstheme="minorHAnsi"/>
          <w:b/>
          <w:bCs/>
        </w:rPr>
        <w:t xml:space="preserve">evices, </w:t>
      </w:r>
      <w:r>
        <w:rPr>
          <w:rFonts w:asciiTheme="minorHAnsi" w:hAnsiTheme="minorHAnsi" w:cstheme="minorHAnsi"/>
          <w:b/>
          <w:bCs/>
        </w:rPr>
        <w:t>C</w:t>
      </w:r>
      <w:r w:rsidRPr="007650F7">
        <w:rPr>
          <w:rFonts w:asciiTheme="minorHAnsi" w:hAnsiTheme="minorHAnsi" w:cstheme="minorHAnsi"/>
          <w:b/>
          <w:bCs/>
        </w:rPr>
        <w:t xml:space="preserve">ircuits, and </w:t>
      </w:r>
      <w:r>
        <w:rPr>
          <w:rFonts w:asciiTheme="minorHAnsi" w:hAnsiTheme="minorHAnsi" w:cstheme="minorHAnsi"/>
          <w:b/>
          <w:bCs/>
        </w:rPr>
        <w:t>A</w:t>
      </w:r>
      <w:r w:rsidRPr="007650F7">
        <w:rPr>
          <w:rFonts w:asciiTheme="minorHAnsi" w:hAnsiTheme="minorHAnsi" w:cstheme="minorHAnsi"/>
          <w:b/>
          <w:bCs/>
        </w:rPr>
        <w:t>rchitectures</w:t>
      </w:r>
    </w:p>
    <w:p w14:paraId="744F890B" w14:textId="2FEC7CB0" w:rsidR="003312E7" w:rsidRDefault="003312E7" w:rsidP="00C420CC">
      <w:pPr>
        <w:rPr>
          <w:i/>
          <w:iCs/>
        </w:rPr>
      </w:pPr>
      <w:r w:rsidRPr="007650F7">
        <w:rPr>
          <w:i/>
          <w:iCs/>
        </w:rPr>
        <w:lastRenderedPageBreak/>
        <w:t>“</w:t>
      </w:r>
      <w:r w:rsidRPr="002518A1">
        <w:rPr>
          <w:i/>
          <w:iCs/>
        </w:rPr>
        <w:t>A 7GHz High-Bandwidth 1R-1RW SRAM for Arm HPC Processor in 3nm Technology</w:t>
      </w:r>
      <w:r w:rsidRPr="007650F7">
        <w:rPr>
          <w:i/>
          <w:iCs/>
        </w:rPr>
        <w:t xml:space="preserve">” – </w:t>
      </w:r>
      <w:r>
        <w:rPr>
          <w:i/>
          <w:iCs/>
        </w:rPr>
        <w:t>Arm</w:t>
      </w:r>
      <w:r w:rsidR="00F60D62">
        <w:rPr>
          <w:i/>
          <w:iCs/>
        </w:rPr>
        <w:t xml:space="preserve"> (Paper C16.3)</w:t>
      </w:r>
    </w:p>
    <w:p w14:paraId="2A496AC0" w14:textId="77777777" w:rsidR="003312E7" w:rsidRPr="005B752F" w:rsidRDefault="003312E7" w:rsidP="00C420CC">
      <w:pPr>
        <w:rPr>
          <w:rFonts w:asciiTheme="minorHAnsi" w:hAnsiTheme="minorHAnsi" w:cstheme="minorHAnsi"/>
          <w:i/>
          <w:iCs/>
        </w:rPr>
      </w:pPr>
    </w:p>
    <w:p w14:paraId="724849A7" w14:textId="3706C947" w:rsidR="00E17233" w:rsidRDefault="00963998" w:rsidP="00C420C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Authors at Arm </w:t>
      </w:r>
      <w:r w:rsidR="00792E1C">
        <w:rPr>
          <w:rFonts w:asciiTheme="minorHAnsi" w:hAnsiTheme="minorHAnsi" w:cstheme="minorHAnsi"/>
          <w:sz w:val="22"/>
          <w:szCs w:val="22"/>
        </w:rPr>
        <w:t>demonstrate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E17233" w:rsidRPr="005B752F">
        <w:rPr>
          <w:rFonts w:asciiTheme="minorHAnsi" w:hAnsiTheme="minorHAnsi" w:cstheme="minorHAnsi"/>
          <w:sz w:val="22"/>
          <w:szCs w:val="22"/>
        </w:rPr>
        <w:t xml:space="preserve"> 1Read-1ReadWrite (1R1RW) High Bandwidth Instance (HBI) </w:t>
      </w:r>
      <w:r>
        <w:rPr>
          <w:rFonts w:asciiTheme="minorHAnsi" w:hAnsiTheme="minorHAnsi" w:cstheme="minorHAnsi"/>
          <w:sz w:val="22"/>
          <w:szCs w:val="22"/>
        </w:rPr>
        <w:t xml:space="preserve">L1-data cache </w:t>
      </w:r>
      <w:r w:rsidR="00E17233" w:rsidRPr="005B752F">
        <w:rPr>
          <w:rFonts w:asciiTheme="minorHAnsi" w:hAnsiTheme="minorHAnsi" w:cstheme="minorHAnsi"/>
          <w:sz w:val="22"/>
          <w:szCs w:val="22"/>
        </w:rPr>
        <w:t>memory</w:t>
      </w:r>
      <w:r>
        <w:rPr>
          <w:rFonts w:asciiTheme="minorHAnsi" w:hAnsiTheme="minorHAnsi" w:cstheme="minorHAnsi"/>
          <w:sz w:val="22"/>
          <w:szCs w:val="22"/>
        </w:rPr>
        <w:t xml:space="preserve"> architecture </w:t>
      </w:r>
      <w:r w:rsidR="00792E1C">
        <w:rPr>
          <w:rFonts w:asciiTheme="minorHAnsi" w:hAnsiTheme="minorHAnsi" w:cstheme="minorHAnsi"/>
          <w:sz w:val="22"/>
          <w:szCs w:val="22"/>
        </w:rPr>
        <w:t>in 3-nm CMOS</w:t>
      </w:r>
      <w:r w:rsidR="00E14186">
        <w:rPr>
          <w:rFonts w:asciiTheme="minorHAnsi" w:hAnsiTheme="minorHAnsi" w:cstheme="minorHAnsi"/>
          <w:sz w:val="22"/>
          <w:szCs w:val="22"/>
        </w:rPr>
        <w:t xml:space="preserve">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7233" w:rsidRPr="005B752F">
        <w:rPr>
          <w:rFonts w:asciiTheme="minorHAnsi" w:hAnsiTheme="minorHAnsi" w:cstheme="minorHAnsi"/>
          <w:sz w:val="22"/>
          <w:szCs w:val="22"/>
        </w:rPr>
        <w:t>seamlessly integrated into</w:t>
      </w:r>
      <w:r w:rsidR="00E14186">
        <w:rPr>
          <w:rFonts w:asciiTheme="minorHAnsi" w:hAnsiTheme="minorHAnsi" w:cstheme="minorHAnsi"/>
          <w:sz w:val="22"/>
          <w:szCs w:val="22"/>
        </w:rPr>
        <w:t xml:space="preserve"> </w:t>
      </w:r>
      <w:r w:rsidR="00E17233" w:rsidRPr="005B752F">
        <w:rPr>
          <w:rFonts w:asciiTheme="minorHAnsi" w:hAnsiTheme="minorHAnsi" w:cstheme="minorHAnsi"/>
          <w:sz w:val="22"/>
          <w:szCs w:val="22"/>
        </w:rPr>
        <w:t>Arm</w:t>
      </w:r>
      <w:r w:rsidR="00E14186">
        <w:rPr>
          <w:rFonts w:asciiTheme="minorHAnsi" w:hAnsiTheme="minorHAnsi" w:cstheme="minorHAnsi"/>
          <w:sz w:val="22"/>
          <w:szCs w:val="22"/>
        </w:rPr>
        <w:t>’s</w:t>
      </w:r>
      <w:r w:rsidR="00E17233" w:rsidRPr="005B752F">
        <w:rPr>
          <w:rFonts w:asciiTheme="minorHAnsi" w:hAnsiTheme="minorHAnsi" w:cstheme="minorHAnsi"/>
          <w:sz w:val="22"/>
          <w:szCs w:val="22"/>
        </w:rPr>
        <w:t xml:space="preserve"> flagship </w:t>
      </w:r>
      <w:r w:rsidR="00E14186">
        <w:rPr>
          <w:rFonts w:asciiTheme="minorHAnsi" w:hAnsiTheme="minorHAnsi" w:cstheme="minorHAnsi"/>
          <w:sz w:val="22"/>
          <w:szCs w:val="22"/>
        </w:rPr>
        <w:t>high-p</w:t>
      </w:r>
      <w:r w:rsidR="00E17233" w:rsidRPr="005B752F">
        <w:rPr>
          <w:rFonts w:asciiTheme="minorHAnsi" w:hAnsiTheme="minorHAnsi" w:cstheme="minorHAnsi"/>
          <w:sz w:val="22"/>
          <w:szCs w:val="22"/>
        </w:rPr>
        <w:t xml:space="preserve">erformance </w:t>
      </w:r>
      <w:r w:rsidR="00E14186">
        <w:rPr>
          <w:rFonts w:asciiTheme="minorHAnsi" w:hAnsiTheme="minorHAnsi" w:cstheme="minorHAnsi"/>
          <w:sz w:val="22"/>
          <w:szCs w:val="22"/>
        </w:rPr>
        <w:t>processor</w:t>
      </w:r>
      <w:r w:rsidR="00E17233" w:rsidRPr="005B752F">
        <w:rPr>
          <w:rFonts w:asciiTheme="minorHAnsi" w:hAnsiTheme="minorHAnsi" w:cstheme="minorHAnsi"/>
          <w:sz w:val="22"/>
          <w:szCs w:val="22"/>
        </w:rPr>
        <w:t>. Enhancing the conventional 8T-1R1W memory, HBI features an additional read port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="00E17233" w:rsidRPr="005B752F">
        <w:rPr>
          <w:rFonts w:asciiTheme="minorHAnsi" w:hAnsiTheme="minorHAnsi" w:cstheme="minorHAnsi"/>
          <w:sz w:val="22"/>
          <w:szCs w:val="22"/>
        </w:rPr>
        <w:t xml:space="preserve"> achie</w:t>
      </w:r>
      <w:r>
        <w:rPr>
          <w:rFonts w:asciiTheme="minorHAnsi" w:hAnsiTheme="minorHAnsi" w:cstheme="minorHAnsi"/>
          <w:sz w:val="22"/>
          <w:szCs w:val="22"/>
        </w:rPr>
        <w:t>ve</w:t>
      </w:r>
      <w:r w:rsidR="00E17233" w:rsidRPr="005B752F">
        <w:rPr>
          <w:rFonts w:asciiTheme="minorHAnsi" w:hAnsiTheme="minorHAnsi" w:cstheme="minorHAnsi"/>
          <w:sz w:val="22"/>
          <w:szCs w:val="22"/>
        </w:rPr>
        <w:t xml:space="preserve"> 1R1RW capability. HBI memory in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E17233" w:rsidRPr="005B752F">
        <w:rPr>
          <w:rFonts w:asciiTheme="minorHAnsi" w:hAnsiTheme="minorHAnsi" w:cstheme="minorHAnsi"/>
          <w:sz w:val="22"/>
          <w:szCs w:val="22"/>
        </w:rPr>
        <w:t>L1-</w:t>
      </w:r>
      <w:r>
        <w:rPr>
          <w:rFonts w:asciiTheme="minorHAnsi" w:hAnsiTheme="minorHAnsi" w:cstheme="minorHAnsi"/>
          <w:sz w:val="22"/>
          <w:szCs w:val="22"/>
        </w:rPr>
        <w:t>d</w:t>
      </w:r>
      <w:r w:rsidR="00E17233" w:rsidRPr="005B752F">
        <w:rPr>
          <w:rFonts w:asciiTheme="minorHAnsi" w:hAnsiTheme="minorHAnsi" w:cstheme="minorHAnsi"/>
          <w:sz w:val="22"/>
          <w:szCs w:val="22"/>
        </w:rPr>
        <w:t xml:space="preserve">ata cache doubles the available read bandwidth and results in an improvement in processor IPC, exceeding 1%. </w:t>
      </w:r>
      <w:r w:rsidR="00E14186">
        <w:rPr>
          <w:rFonts w:asciiTheme="minorHAnsi" w:hAnsiTheme="minorHAnsi" w:cstheme="minorHAnsi"/>
          <w:sz w:val="22"/>
          <w:szCs w:val="22"/>
        </w:rPr>
        <w:t xml:space="preserve">The new architecture further enables </w:t>
      </w:r>
      <w:r w:rsidR="00E14186" w:rsidRPr="007650F7">
        <w:rPr>
          <w:rFonts w:asciiTheme="minorHAnsi" w:hAnsiTheme="minorHAnsi" w:cstheme="minorHAnsi"/>
          <w:sz w:val="22"/>
          <w:szCs w:val="22"/>
        </w:rPr>
        <w:t>13% reduction in area and 10</w:t>
      </w:r>
      <w:r w:rsidR="00E14186">
        <w:rPr>
          <w:rFonts w:asciiTheme="minorHAnsi" w:hAnsiTheme="minorHAnsi" w:cstheme="minorHAnsi"/>
          <w:sz w:val="22"/>
          <w:szCs w:val="22"/>
        </w:rPr>
        <w:t>–</w:t>
      </w:r>
      <w:r w:rsidR="00E14186" w:rsidRPr="007650F7">
        <w:rPr>
          <w:rFonts w:asciiTheme="minorHAnsi" w:hAnsiTheme="minorHAnsi" w:cstheme="minorHAnsi"/>
          <w:sz w:val="22"/>
          <w:szCs w:val="22"/>
        </w:rPr>
        <w:t>15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4186" w:rsidRPr="007650F7">
        <w:rPr>
          <w:rFonts w:asciiTheme="minorHAnsi" w:hAnsiTheme="minorHAnsi" w:cstheme="minorHAnsi"/>
          <w:sz w:val="22"/>
          <w:szCs w:val="22"/>
        </w:rPr>
        <w:t>ps</w:t>
      </w:r>
      <w:proofErr w:type="spellEnd"/>
      <w:r w:rsidR="00E14186" w:rsidRPr="007650F7">
        <w:rPr>
          <w:rFonts w:asciiTheme="minorHAnsi" w:hAnsiTheme="minorHAnsi" w:cstheme="minorHAnsi"/>
          <w:sz w:val="22"/>
          <w:szCs w:val="22"/>
        </w:rPr>
        <w:t xml:space="preserve"> reduction in routing delay</w:t>
      </w:r>
      <w:r w:rsidR="00E14186" w:rsidRPr="00E14186">
        <w:rPr>
          <w:rFonts w:asciiTheme="minorHAnsi" w:hAnsiTheme="minorHAnsi" w:cstheme="minorHAnsi"/>
          <w:sz w:val="22"/>
          <w:szCs w:val="22"/>
        </w:rPr>
        <w:t xml:space="preserve"> </w:t>
      </w:r>
      <w:r w:rsidR="008901C7">
        <w:rPr>
          <w:rFonts w:asciiTheme="minorHAnsi" w:hAnsiTheme="minorHAnsi" w:cstheme="minorHAnsi"/>
          <w:sz w:val="22"/>
          <w:szCs w:val="22"/>
        </w:rPr>
        <w:t xml:space="preserve">from less </w:t>
      </w:r>
      <w:r w:rsidR="00E17233" w:rsidRPr="005B752F">
        <w:rPr>
          <w:rFonts w:asciiTheme="minorHAnsi" w:hAnsiTheme="minorHAnsi" w:cstheme="minorHAnsi"/>
          <w:sz w:val="22"/>
          <w:szCs w:val="22"/>
        </w:rPr>
        <w:t>routing congestion</w:t>
      </w:r>
      <w:r w:rsidR="00E14186">
        <w:rPr>
          <w:rFonts w:asciiTheme="minorHAnsi" w:hAnsiTheme="minorHAnsi" w:cstheme="minorHAnsi"/>
          <w:sz w:val="22"/>
          <w:szCs w:val="22"/>
        </w:rPr>
        <w:t xml:space="preserve"> </w:t>
      </w:r>
      <w:r w:rsidR="00E17233" w:rsidRPr="005B752F">
        <w:rPr>
          <w:rFonts w:asciiTheme="minorHAnsi" w:hAnsiTheme="minorHAnsi" w:cstheme="minorHAnsi"/>
          <w:sz w:val="22"/>
          <w:szCs w:val="22"/>
        </w:rPr>
        <w:t xml:space="preserve">in the CPU physical design. </w:t>
      </w:r>
      <w:r w:rsidR="00792E1C">
        <w:rPr>
          <w:rFonts w:asciiTheme="minorHAnsi" w:hAnsiTheme="minorHAnsi" w:cstheme="minorHAnsi"/>
          <w:sz w:val="22"/>
          <w:szCs w:val="22"/>
        </w:rPr>
        <w:t>Silicon</w:t>
      </w:r>
      <w:r w:rsidR="00E17233" w:rsidRPr="005B752F">
        <w:rPr>
          <w:rFonts w:asciiTheme="minorHAnsi" w:hAnsiTheme="minorHAnsi" w:cstheme="minorHAnsi"/>
          <w:sz w:val="22"/>
          <w:szCs w:val="22"/>
        </w:rPr>
        <w:t xml:space="preserve"> demonstrates </w:t>
      </w:r>
      <w:r w:rsidR="00792E1C">
        <w:rPr>
          <w:rFonts w:asciiTheme="minorHAnsi" w:hAnsiTheme="minorHAnsi" w:cstheme="minorHAnsi"/>
          <w:sz w:val="22"/>
          <w:szCs w:val="22"/>
        </w:rPr>
        <w:t xml:space="preserve">1R1RW HBI yield of </w:t>
      </w:r>
      <w:r w:rsidR="00E17233" w:rsidRPr="005B752F">
        <w:rPr>
          <w:rFonts w:asciiTheme="minorHAnsi" w:hAnsiTheme="minorHAnsi" w:cstheme="minorHAnsi"/>
          <w:sz w:val="22"/>
          <w:szCs w:val="22"/>
        </w:rPr>
        <w:t>100% yield</w:t>
      </w:r>
      <w:r w:rsidR="00792E1C">
        <w:rPr>
          <w:rFonts w:asciiTheme="minorHAnsi" w:hAnsiTheme="minorHAnsi" w:cstheme="minorHAnsi"/>
          <w:sz w:val="22"/>
          <w:szCs w:val="22"/>
        </w:rPr>
        <w:t xml:space="preserve">, the </w:t>
      </w:r>
      <w:r w:rsidR="00E17233" w:rsidRPr="005B752F">
        <w:rPr>
          <w:rFonts w:asciiTheme="minorHAnsi" w:hAnsiTheme="minorHAnsi" w:cstheme="minorHAnsi"/>
          <w:sz w:val="22"/>
          <w:szCs w:val="22"/>
        </w:rPr>
        <w:t xml:space="preserve">highest reported frequency of </w:t>
      </w:r>
      <w:r w:rsidR="00792E1C">
        <w:rPr>
          <w:rFonts w:asciiTheme="minorHAnsi" w:hAnsiTheme="minorHAnsi" w:cstheme="minorHAnsi"/>
          <w:sz w:val="22"/>
          <w:szCs w:val="22"/>
        </w:rPr>
        <w:t>over</w:t>
      </w:r>
      <w:r w:rsidR="00E17233" w:rsidRPr="005B752F">
        <w:rPr>
          <w:rFonts w:asciiTheme="minorHAnsi" w:hAnsiTheme="minorHAnsi" w:cstheme="minorHAnsi"/>
          <w:sz w:val="22"/>
          <w:szCs w:val="22"/>
        </w:rPr>
        <w:t xml:space="preserve"> 7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r w:rsidR="00E17233" w:rsidRPr="005B752F">
        <w:rPr>
          <w:rFonts w:asciiTheme="minorHAnsi" w:hAnsiTheme="minorHAnsi" w:cstheme="minorHAnsi"/>
          <w:sz w:val="22"/>
          <w:szCs w:val="22"/>
        </w:rPr>
        <w:t>GHz and lowest reported bit density of 11.2 Mbit/mm</w:t>
      </w:r>
      <w:r w:rsidR="00E17233" w:rsidRPr="005B752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17233" w:rsidRPr="005B752F">
        <w:rPr>
          <w:rFonts w:asciiTheme="minorHAnsi" w:hAnsiTheme="minorHAnsi" w:cstheme="minorHAnsi"/>
          <w:position w:val="6"/>
          <w:sz w:val="22"/>
          <w:szCs w:val="22"/>
        </w:rPr>
        <w:t xml:space="preserve"> </w:t>
      </w:r>
      <w:r w:rsidR="00E17233" w:rsidRPr="005B752F">
        <w:rPr>
          <w:rFonts w:asciiTheme="minorHAnsi" w:hAnsiTheme="minorHAnsi" w:cstheme="minorHAnsi"/>
          <w:sz w:val="22"/>
          <w:szCs w:val="22"/>
        </w:rPr>
        <w:t>for any 8T SRAM memory</w:t>
      </w:r>
      <w:r w:rsidR="008901C7">
        <w:rPr>
          <w:rFonts w:asciiTheme="minorHAnsi" w:hAnsiTheme="minorHAnsi" w:cstheme="minorHAnsi"/>
          <w:sz w:val="22"/>
          <w:szCs w:val="22"/>
        </w:rPr>
        <w:t>.</w:t>
      </w:r>
    </w:p>
    <w:p w14:paraId="64DE77F8" w14:textId="77777777" w:rsidR="00DC50F8" w:rsidRDefault="00DC50F8" w:rsidP="005B752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D91160C" w14:textId="77777777" w:rsidR="003312E7" w:rsidRPr="007650F7" w:rsidRDefault="003312E7" w:rsidP="00C420CC">
      <w:pPr>
        <w:pStyle w:val="NormalWeb"/>
        <w:shd w:val="clear" w:color="auto" w:fill="FFFFFF"/>
        <w:spacing w:before="160" w:beforeAutospacing="0" w:after="80" w:afterAutospacing="0" w:line="276" w:lineRule="auto"/>
        <w:rPr>
          <w:rFonts w:asciiTheme="minorHAnsi" w:hAnsiTheme="minorHAnsi" w:cstheme="minorHAnsi"/>
          <w:b/>
          <w:bCs/>
        </w:rPr>
      </w:pPr>
      <w:r w:rsidRPr="007650F7">
        <w:rPr>
          <w:rFonts w:asciiTheme="minorHAnsi" w:hAnsiTheme="minorHAnsi" w:cstheme="minorHAnsi"/>
          <w:b/>
          <w:bCs/>
        </w:rPr>
        <w:t xml:space="preserve">Digital </w:t>
      </w:r>
      <w:r>
        <w:rPr>
          <w:rFonts w:asciiTheme="minorHAnsi" w:hAnsiTheme="minorHAnsi" w:cstheme="minorHAnsi"/>
          <w:b/>
          <w:bCs/>
        </w:rPr>
        <w:t>C</w:t>
      </w:r>
      <w:r w:rsidRPr="007650F7">
        <w:rPr>
          <w:rFonts w:asciiTheme="minorHAnsi" w:hAnsiTheme="minorHAnsi" w:cstheme="minorHAnsi"/>
          <w:b/>
          <w:bCs/>
        </w:rPr>
        <w:t xml:space="preserve">ircuits, </w:t>
      </w:r>
      <w:r>
        <w:rPr>
          <w:rFonts w:asciiTheme="minorHAnsi" w:hAnsiTheme="minorHAnsi" w:cstheme="minorHAnsi"/>
          <w:b/>
          <w:bCs/>
        </w:rPr>
        <w:t>H</w:t>
      </w:r>
      <w:r w:rsidRPr="007650F7">
        <w:rPr>
          <w:rFonts w:asciiTheme="minorHAnsi" w:hAnsiTheme="minorHAnsi" w:cstheme="minorHAnsi"/>
          <w:b/>
          <w:bCs/>
        </w:rPr>
        <w:t xml:space="preserve">ardware </w:t>
      </w:r>
      <w:r>
        <w:rPr>
          <w:rFonts w:asciiTheme="minorHAnsi" w:hAnsiTheme="minorHAnsi" w:cstheme="minorHAnsi"/>
          <w:b/>
          <w:bCs/>
        </w:rPr>
        <w:t>S</w:t>
      </w:r>
      <w:r w:rsidRPr="007650F7">
        <w:rPr>
          <w:rFonts w:asciiTheme="minorHAnsi" w:hAnsiTheme="minorHAnsi" w:cstheme="minorHAnsi"/>
          <w:b/>
          <w:bCs/>
        </w:rPr>
        <w:t xml:space="preserve">ecurity, </w:t>
      </w:r>
      <w:r>
        <w:rPr>
          <w:rFonts w:asciiTheme="minorHAnsi" w:hAnsiTheme="minorHAnsi" w:cstheme="minorHAnsi"/>
          <w:b/>
          <w:bCs/>
        </w:rPr>
        <w:t>S</w:t>
      </w:r>
      <w:r w:rsidRPr="007650F7">
        <w:rPr>
          <w:rFonts w:asciiTheme="minorHAnsi" w:hAnsiTheme="minorHAnsi" w:cstheme="minorHAnsi"/>
          <w:b/>
          <w:bCs/>
        </w:rPr>
        <w:t xml:space="preserve">ignal </w:t>
      </w:r>
      <w:r>
        <w:rPr>
          <w:rFonts w:asciiTheme="minorHAnsi" w:hAnsiTheme="minorHAnsi" w:cstheme="minorHAnsi"/>
          <w:b/>
          <w:bCs/>
        </w:rPr>
        <w:t>I</w:t>
      </w:r>
      <w:r w:rsidRPr="007650F7">
        <w:rPr>
          <w:rFonts w:asciiTheme="minorHAnsi" w:hAnsiTheme="minorHAnsi" w:cstheme="minorHAnsi"/>
          <w:b/>
          <w:bCs/>
        </w:rPr>
        <w:t>ntegrity, IOs</w:t>
      </w:r>
    </w:p>
    <w:p w14:paraId="2207C372" w14:textId="5C53EE58" w:rsidR="003312E7" w:rsidRDefault="003312E7" w:rsidP="00C420CC">
      <w:pPr>
        <w:rPr>
          <w:i/>
          <w:iCs/>
        </w:rPr>
      </w:pPr>
      <w:r w:rsidRPr="007650F7">
        <w:rPr>
          <w:i/>
          <w:iCs/>
        </w:rPr>
        <w:t>“</w:t>
      </w:r>
      <w:r w:rsidRPr="003D0187">
        <w:rPr>
          <w:i/>
          <w:iCs/>
        </w:rPr>
        <w:t>A 5.6</w:t>
      </w:r>
      <w:r w:rsidRPr="007650F7">
        <w:rPr>
          <w:i/>
          <w:iCs/>
        </w:rPr>
        <w:t>μ</w:t>
      </w:r>
      <w:r w:rsidRPr="003D0187">
        <w:rPr>
          <w:i/>
          <w:iCs/>
        </w:rPr>
        <w:t>W 10-Keyword End-to-End Keyword Spotting System Using Passive-Averaging SAR ADC and Sign-Exponent-Only Layer Fusion with 92.7% Accuracy</w:t>
      </w:r>
      <w:r w:rsidRPr="007650F7">
        <w:rPr>
          <w:i/>
          <w:iCs/>
        </w:rPr>
        <w:t xml:space="preserve">” – </w:t>
      </w:r>
      <w:r>
        <w:rPr>
          <w:i/>
          <w:iCs/>
        </w:rPr>
        <w:t>Seoul National University</w:t>
      </w:r>
      <w:r w:rsidR="00C1640F">
        <w:rPr>
          <w:i/>
          <w:iCs/>
        </w:rPr>
        <w:t xml:space="preserve"> and Columbia University</w:t>
      </w:r>
      <w:r w:rsidR="00F60D62">
        <w:rPr>
          <w:i/>
          <w:iCs/>
        </w:rPr>
        <w:t xml:space="preserve"> (Paper C25.1) </w:t>
      </w:r>
    </w:p>
    <w:p w14:paraId="75F9B4D4" w14:textId="77777777" w:rsidR="00C1640F" w:rsidRDefault="00C1640F" w:rsidP="00C420CC">
      <w:pPr>
        <w:rPr>
          <w:i/>
          <w:iCs/>
        </w:rPr>
      </w:pPr>
    </w:p>
    <w:p w14:paraId="1F1D2124" w14:textId="54C11566" w:rsidR="003312E7" w:rsidRDefault="00C1640F" w:rsidP="00C420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0"/>
        </w:rPr>
      </w:pPr>
      <w:r w:rsidRPr="005B752F">
        <w:rPr>
          <w:rFonts w:asciiTheme="minorHAnsi" w:hAnsiTheme="minorHAnsi" w:cstheme="minorHAnsi"/>
          <w:color w:val="000000"/>
          <w:kern w:val="0"/>
        </w:rPr>
        <w:t xml:space="preserve">Researchers from Seoul National University and Columbia University present a 10-keyword end-to-end keyword spotting (KWS) system </w:t>
      </w:r>
      <w:r w:rsidR="00CA6F19">
        <w:rPr>
          <w:rFonts w:asciiTheme="minorHAnsi" w:hAnsiTheme="minorHAnsi" w:cstheme="minorHAnsi"/>
          <w:color w:val="000000"/>
          <w:kern w:val="0"/>
        </w:rPr>
        <w:t>to target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 wake</w:t>
      </w:r>
      <w:r w:rsidR="00CA6F19">
        <w:rPr>
          <w:rFonts w:asciiTheme="minorHAnsi" w:hAnsiTheme="minorHAnsi" w:cstheme="minorHAnsi"/>
          <w:color w:val="000000"/>
          <w:kern w:val="0"/>
        </w:rPr>
        <w:t>-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up and control </w:t>
      </w:r>
      <w:r w:rsidR="00CA6F19">
        <w:rPr>
          <w:rFonts w:asciiTheme="minorHAnsi" w:hAnsiTheme="minorHAnsi" w:cstheme="minorHAnsi"/>
          <w:color w:val="000000"/>
          <w:kern w:val="0"/>
        </w:rPr>
        <w:t xml:space="preserve">of mobile and 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IoT devices. </w:t>
      </w:r>
      <w:r w:rsidR="00CA6F19">
        <w:rPr>
          <w:rFonts w:asciiTheme="minorHAnsi" w:hAnsiTheme="minorHAnsi" w:cstheme="minorHAnsi"/>
          <w:color w:val="000000"/>
          <w:kern w:val="0"/>
        </w:rPr>
        <w:t>The proposed architecture employs p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assive averaging </w:t>
      </w:r>
      <w:r w:rsidR="00CA6F19">
        <w:rPr>
          <w:rFonts w:asciiTheme="minorHAnsi" w:hAnsiTheme="minorHAnsi" w:cstheme="minorHAnsi"/>
          <w:color w:val="000000"/>
          <w:kern w:val="0"/>
        </w:rPr>
        <w:t>to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 improve the analog front-end </w:t>
      </w:r>
      <w:r w:rsidR="00444D0C">
        <w:rPr>
          <w:rFonts w:asciiTheme="minorHAnsi" w:hAnsiTheme="minorHAnsi" w:cstheme="minorHAnsi"/>
          <w:color w:val="000000"/>
          <w:kern w:val="0"/>
        </w:rPr>
        <w:t xml:space="preserve">(AFE) 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SNR </w:t>
      </w:r>
      <w:r w:rsidR="00444D0C">
        <w:rPr>
          <w:rFonts w:asciiTheme="minorHAnsi" w:hAnsiTheme="minorHAnsi" w:cstheme="minorHAnsi"/>
          <w:color w:val="000000"/>
          <w:kern w:val="0"/>
        </w:rPr>
        <w:t>and operate at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 a small power overhead of </w:t>
      </w:r>
      <w:r w:rsidR="00CA6F19">
        <w:rPr>
          <w:rFonts w:asciiTheme="minorHAnsi" w:hAnsiTheme="minorHAnsi" w:cstheme="minorHAnsi"/>
          <w:color w:val="000000"/>
          <w:kern w:val="0"/>
        </w:rPr>
        <w:t xml:space="preserve">only </w:t>
      </w:r>
      <w:r w:rsidRPr="005B752F">
        <w:rPr>
          <w:rFonts w:asciiTheme="minorHAnsi" w:hAnsiTheme="minorHAnsi" w:cstheme="minorHAnsi"/>
          <w:color w:val="000000"/>
          <w:kern w:val="0"/>
        </w:rPr>
        <w:t>20</w:t>
      </w:r>
      <w:r w:rsidR="00CA6F19">
        <w:rPr>
          <w:rFonts w:asciiTheme="minorHAnsi" w:hAnsiTheme="minorHAnsi" w:cstheme="minorHAnsi"/>
          <w:color w:val="000000"/>
          <w:kern w:val="0"/>
        </w:rPr>
        <w:t xml:space="preserve"> </w:t>
      </w:r>
      <w:proofErr w:type="spellStart"/>
      <w:r w:rsidRPr="005B752F">
        <w:rPr>
          <w:rFonts w:asciiTheme="minorHAnsi" w:hAnsiTheme="minorHAnsi" w:cstheme="minorHAnsi"/>
          <w:color w:val="000000"/>
          <w:kern w:val="0"/>
        </w:rPr>
        <w:t>nW.</w:t>
      </w:r>
      <w:proofErr w:type="spellEnd"/>
      <w:r w:rsidRPr="005B752F">
        <w:rPr>
          <w:rFonts w:asciiTheme="minorHAnsi" w:hAnsiTheme="minorHAnsi" w:cstheme="minorHAnsi"/>
          <w:color w:val="000000"/>
          <w:kern w:val="0"/>
        </w:rPr>
        <w:t xml:space="preserve"> A sign-exponent-only layer fusion scheme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 w:rsidRPr="005B752F">
        <w:rPr>
          <w:rFonts w:asciiTheme="minorHAnsi" w:hAnsiTheme="minorHAnsi" w:cstheme="minorHAnsi"/>
          <w:color w:val="000000"/>
          <w:kern w:val="0"/>
        </w:rPr>
        <w:t>reduces the model size and multiplication power overhead by 63.5% and 29.8%, respectively,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 w:rsidRPr="005B752F">
        <w:rPr>
          <w:rFonts w:asciiTheme="minorHAnsi" w:hAnsiTheme="minorHAnsi" w:cstheme="minorHAnsi"/>
          <w:color w:val="000000"/>
          <w:kern w:val="0"/>
        </w:rPr>
        <w:t>maintaining the KWS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accuracy. </w:t>
      </w:r>
      <w:r w:rsidR="00CA6F19">
        <w:rPr>
          <w:rFonts w:asciiTheme="minorHAnsi" w:hAnsiTheme="minorHAnsi" w:cstheme="minorHAnsi"/>
          <w:color w:val="000000"/>
          <w:kern w:val="0"/>
        </w:rPr>
        <w:t>Compared to prior art targeting 10 keywords, t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he design </w:t>
      </w:r>
      <w:r w:rsidR="00FD1246">
        <w:rPr>
          <w:rFonts w:asciiTheme="minorHAnsi" w:hAnsiTheme="minorHAnsi" w:cstheme="minorHAnsi"/>
          <w:color w:val="000000"/>
          <w:kern w:val="0"/>
        </w:rPr>
        <w:t>offers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 </w:t>
      </w:r>
      <w:r w:rsidR="00CA6F19">
        <w:rPr>
          <w:rFonts w:asciiTheme="minorHAnsi" w:hAnsiTheme="minorHAnsi" w:cstheme="minorHAnsi"/>
          <w:color w:val="000000"/>
          <w:kern w:val="0"/>
        </w:rPr>
        <w:t>the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 highest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 w:rsidRPr="005B752F">
        <w:rPr>
          <w:rFonts w:asciiTheme="minorHAnsi" w:hAnsiTheme="minorHAnsi" w:cstheme="minorHAnsi"/>
          <w:color w:val="000000"/>
          <w:kern w:val="0"/>
        </w:rPr>
        <w:t>accuracy of 92.7% and lowest power consumption of 5.6</w:t>
      </w:r>
      <w:r w:rsidR="00CA6F19">
        <w:rPr>
          <w:rFonts w:asciiTheme="minorHAnsi" w:hAnsiTheme="minorHAnsi" w:cstheme="minorHAnsi"/>
          <w:color w:val="000000"/>
          <w:kern w:val="0"/>
        </w:rPr>
        <w:t xml:space="preserve"> </w:t>
      </w:r>
      <w:proofErr w:type="spellStart"/>
      <w:r w:rsidRPr="005B752F">
        <w:rPr>
          <w:rFonts w:asciiTheme="minorHAnsi" w:hAnsiTheme="minorHAnsi" w:cstheme="minorHAnsi"/>
          <w:color w:val="000000"/>
          <w:kern w:val="0"/>
        </w:rPr>
        <w:t>μW</w:t>
      </w:r>
      <w:proofErr w:type="spellEnd"/>
      <w:r w:rsidRPr="005B752F">
        <w:rPr>
          <w:rFonts w:asciiTheme="minorHAnsi" w:hAnsiTheme="minorHAnsi" w:cstheme="minorHAnsi"/>
          <w:color w:val="000000"/>
          <w:kern w:val="0"/>
        </w:rPr>
        <w:t>.</w:t>
      </w:r>
    </w:p>
    <w:p w14:paraId="5AA560C7" w14:textId="77777777" w:rsidR="00444D0C" w:rsidRDefault="00444D0C" w:rsidP="00C1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0"/>
        </w:rPr>
      </w:pPr>
    </w:p>
    <w:p w14:paraId="5A9A12FA" w14:textId="7B08E3EE" w:rsidR="006B2A10" w:rsidRDefault="006B2A10" w:rsidP="00C420CC">
      <w:pPr>
        <w:pStyle w:val="Heading3"/>
      </w:pPr>
      <w:r>
        <w:rPr>
          <w:b/>
          <w:bCs/>
          <w:sz w:val="24"/>
          <w:szCs w:val="24"/>
        </w:rPr>
        <w:t>Biomedical Devices, Circuits, and Systems</w:t>
      </w:r>
    </w:p>
    <w:p w14:paraId="28AFBC8C" w14:textId="3ABA92C2" w:rsidR="006B2A10" w:rsidRDefault="006B2A10" w:rsidP="00C420CC">
      <w:pPr>
        <w:pStyle w:val="Heading3"/>
        <w:spacing w:before="0" w:after="0"/>
        <w:rPr>
          <w:i/>
          <w:iCs/>
          <w:sz w:val="22"/>
          <w:szCs w:val="22"/>
        </w:rPr>
      </w:pPr>
      <w:r w:rsidRPr="005B752F">
        <w:rPr>
          <w:i/>
          <w:iCs/>
          <w:sz w:val="22"/>
          <w:szCs w:val="22"/>
        </w:rPr>
        <w:t>“SPIRIT: A Seizure Prediction SoC with a 17.2</w:t>
      </w:r>
      <w:r w:rsidR="00BC1ACF">
        <w:rPr>
          <w:i/>
          <w:iCs/>
          <w:sz w:val="22"/>
          <w:szCs w:val="22"/>
        </w:rPr>
        <w:t xml:space="preserve"> </w:t>
      </w:r>
      <w:proofErr w:type="spellStart"/>
      <w:r w:rsidRPr="005B752F">
        <w:rPr>
          <w:i/>
          <w:iCs/>
          <w:sz w:val="22"/>
          <w:szCs w:val="22"/>
        </w:rPr>
        <w:t>nJ</w:t>
      </w:r>
      <w:proofErr w:type="spellEnd"/>
      <w:r w:rsidRPr="005B752F">
        <w:rPr>
          <w:i/>
          <w:iCs/>
          <w:sz w:val="22"/>
          <w:szCs w:val="22"/>
        </w:rPr>
        <w:t>/</w:t>
      </w:r>
      <w:proofErr w:type="spellStart"/>
      <w:r w:rsidRPr="005B752F">
        <w:rPr>
          <w:i/>
          <w:iCs/>
          <w:sz w:val="22"/>
          <w:szCs w:val="22"/>
        </w:rPr>
        <w:t>cls</w:t>
      </w:r>
      <w:proofErr w:type="spellEnd"/>
      <w:r w:rsidRPr="005B752F">
        <w:rPr>
          <w:i/>
          <w:iCs/>
          <w:sz w:val="22"/>
          <w:szCs w:val="22"/>
        </w:rPr>
        <w:t xml:space="preserve"> Unsupervised Online-Learning Classifier and Zoom Analog Frontends” – University of California, Berkeley</w:t>
      </w:r>
      <w:r w:rsidR="00276FE3">
        <w:rPr>
          <w:i/>
          <w:iCs/>
          <w:sz w:val="22"/>
          <w:szCs w:val="22"/>
        </w:rPr>
        <w:t xml:space="preserve"> (Paper C23.1)</w:t>
      </w:r>
    </w:p>
    <w:p w14:paraId="616BCEDF" w14:textId="77777777" w:rsidR="00F1636F" w:rsidRPr="005B752F" w:rsidRDefault="00F1636F" w:rsidP="00C420CC"/>
    <w:p w14:paraId="61935CD0" w14:textId="7E6B7743" w:rsidR="00F1636F" w:rsidRDefault="00B37AE1" w:rsidP="00C420C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Authors from the University of California, Berkeley present</w:t>
      </w:r>
      <w:r w:rsidR="00F1636F" w:rsidRPr="005B752F">
        <w:rPr>
          <w:rFonts w:asciiTheme="minorHAnsi" w:hAnsiTheme="minorHAnsi" w:cstheme="minorHAnsi"/>
          <w:sz w:val="22"/>
          <w:szCs w:val="22"/>
        </w:rPr>
        <w:t xml:space="preserve"> an SoC </w:t>
      </w:r>
      <w:r>
        <w:rPr>
          <w:rFonts w:asciiTheme="minorHAnsi" w:hAnsiTheme="minorHAnsi" w:cstheme="minorHAnsi"/>
          <w:sz w:val="22"/>
          <w:szCs w:val="22"/>
        </w:rPr>
        <w:t xml:space="preserve">named SPIRIT which </w:t>
      </w:r>
      <w:r w:rsidR="00F1636F" w:rsidRPr="005B752F">
        <w:rPr>
          <w:rFonts w:asciiTheme="minorHAnsi" w:hAnsiTheme="minorHAnsi" w:cstheme="minorHAnsi"/>
          <w:sz w:val="22"/>
          <w:szCs w:val="22"/>
        </w:rPr>
        <w:t>integrat</w:t>
      </w:r>
      <w:r>
        <w:rPr>
          <w:rFonts w:asciiTheme="minorHAnsi" w:hAnsiTheme="minorHAnsi" w:cstheme="minorHAnsi"/>
          <w:sz w:val="22"/>
          <w:szCs w:val="22"/>
        </w:rPr>
        <w:t>es</w:t>
      </w:r>
      <w:r w:rsidR="00F1636F" w:rsidRPr="005B752F">
        <w:rPr>
          <w:rFonts w:asciiTheme="minorHAnsi" w:hAnsiTheme="minorHAnsi" w:cstheme="minorHAnsi"/>
          <w:sz w:val="22"/>
          <w:szCs w:val="22"/>
        </w:rPr>
        <w:t xml:space="preserve"> an unsupervised online-learning seizure prediction classifier</w:t>
      </w:r>
      <w:r>
        <w:rPr>
          <w:rFonts w:asciiTheme="minorHAnsi" w:hAnsiTheme="minorHAnsi" w:cstheme="minorHAnsi"/>
          <w:sz w:val="22"/>
          <w:szCs w:val="22"/>
        </w:rPr>
        <w:t>. The work features</w:t>
      </w:r>
      <w:r w:rsidR="00F1636F" w:rsidRPr="005B752F">
        <w:rPr>
          <w:rFonts w:asciiTheme="minorHAnsi" w:hAnsiTheme="minorHAnsi" w:cstheme="minorHAnsi"/>
          <w:sz w:val="22"/>
          <w:szCs w:val="22"/>
        </w:rPr>
        <w:t xml:space="preserve"> eight 14.4</w:t>
      </w:r>
      <w:r>
        <w:rPr>
          <w:rFonts w:asciiTheme="minorHAnsi" w:hAnsiTheme="minorHAnsi" w:cstheme="minorHAnsi"/>
          <w:sz w:val="22"/>
          <w:szCs w:val="22"/>
        </w:rPr>
        <w:t>-</w:t>
      </w:r>
      <w:r w:rsidR="00F1636F" w:rsidRPr="005B752F">
        <w:rPr>
          <w:rFonts w:asciiTheme="minorHAnsi" w:hAnsiTheme="minorHAnsi" w:cstheme="minorHAnsi" w:hint="eastAsia"/>
          <w:sz w:val="22"/>
          <w:szCs w:val="22"/>
        </w:rPr>
        <w:t>μ</w:t>
      </w:r>
      <w:r w:rsidR="00F1636F" w:rsidRPr="005B752F">
        <w:rPr>
          <w:rFonts w:asciiTheme="minorHAnsi" w:hAnsiTheme="minorHAnsi" w:cstheme="minorHAnsi"/>
          <w:sz w:val="22"/>
          <w:szCs w:val="22"/>
        </w:rPr>
        <w:t>W, 0.057</w:t>
      </w:r>
      <w:r>
        <w:rPr>
          <w:rFonts w:asciiTheme="minorHAnsi" w:hAnsiTheme="minorHAnsi" w:cstheme="minorHAnsi"/>
          <w:sz w:val="22"/>
          <w:szCs w:val="22"/>
        </w:rPr>
        <w:t>-</w:t>
      </w:r>
      <w:r w:rsidR="00F1636F" w:rsidRPr="005B752F">
        <w:rPr>
          <w:rFonts w:asciiTheme="minorHAnsi" w:hAnsiTheme="minorHAnsi" w:cstheme="minorHAnsi"/>
          <w:sz w:val="22"/>
          <w:szCs w:val="22"/>
        </w:rPr>
        <w:t>mm</w:t>
      </w:r>
      <w:r w:rsidR="00F1636F" w:rsidRPr="005B752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1636F" w:rsidRPr="005B752F">
        <w:rPr>
          <w:rFonts w:asciiTheme="minorHAnsi" w:hAnsiTheme="minorHAnsi" w:cstheme="minorHAnsi"/>
          <w:sz w:val="22"/>
          <w:szCs w:val="22"/>
        </w:rPr>
        <w:t>, 90.5</w:t>
      </w:r>
      <w:r>
        <w:rPr>
          <w:rFonts w:asciiTheme="minorHAnsi" w:hAnsiTheme="minorHAnsi" w:cstheme="minorHAnsi"/>
          <w:sz w:val="22"/>
          <w:szCs w:val="22"/>
        </w:rPr>
        <w:t>-</w:t>
      </w:r>
      <w:r w:rsidR="00F1636F" w:rsidRPr="005B752F">
        <w:rPr>
          <w:rFonts w:asciiTheme="minorHAnsi" w:hAnsiTheme="minorHAnsi" w:cstheme="minorHAnsi"/>
          <w:sz w:val="22"/>
          <w:szCs w:val="22"/>
        </w:rPr>
        <w:t xml:space="preserve">dB dynamic range,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F1636F" w:rsidRPr="005B752F">
        <w:rPr>
          <w:rFonts w:asciiTheme="minorHAnsi" w:hAnsiTheme="minorHAnsi" w:cstheme="minorHAnsi"/>
          <w:sz w:val="22"/>
          <w:szCs w:val="22"/>
        </w:rPr>
        <w:t xml:space="preserve">Zoom Analog Frontends. </w:t>
      </w:r>
      <w:r>
        <w:rPr>
          <w:rFonts w:asciiTheme="minorHAnsi" w:hAnsiTheme="minorHAnsi" w:cstheme="minorHAnsi"/>
          <w:sz w:val="22"/>
          <w:szCs w:val="22"/>
        </w:rPr>
        <w:t xml:space="preserve">On average, </w:t>
      </w:r>
      <w:r w:rsidR="00F1636F" w:rsidRPr="005B752F">
        <w:rPr>
          <w:rFonts w:asciiTheme="minorHAnsi" w:hAnsiTheme="minorHAnsi" w:cstheme="minorHAnsi"/>
          <w:sz w:val="22"/>
          <w:szCs w:val="22"/>
        </w:rPr>
        <w:t>SPIRIT achieves 97.5%/96.2% sensitivity/specificity</w:t>
      </w:r>
      <w:r w:rsidR="00E952FB">
        <w:rPr>
          <w:rFonts w:asciiTheme="minorHAnsi" w:hAnsiTheme="minorHAnsi" w:cstheme="minorHAnsi"/>
          <w:sz w:val="22"/>
          <w:szCs w:val="22"/>
        </w:rPr>
        <w:t xml:space="preserve"> and can</w:t>
      </w:r>
      <w:r w:rsidR="00F1636F" w:rsidRPr="005B752F">
        <w:rPr>
          <w:rFonts w:asciiTheme="minorHAnsi" w:hAnsiTheme="minorHAnsi" w:cstheme="minorHAnsi"/>
          <w:sz w:val="22"/>
          <w:szCs w:val="22"/>
        </w:rPr>
        <w:t xml:space="preserve"> predict </w:t>
      </w:r>
      <w:r w:rsidR="00E952FB">
        <w:rPr>
          <w:rFonts w:asciiTheme="minorHAnsi" w:hAnsiTheme="minorHAnsi" w:cstheme="minorHAnsi"/>
          <w:sz w:val="22"/>
          <w:szCs w:val="22"/>
        </w:rPr>
        <w:t xml:space="preserve">epileptic </w:t>
      </w:r>
      <w:r w:rsidR="00F1636F" w:rsidRPr="005B752F">
        <w:rPr>
          <w:rFonts w:asciiTheme="minorHAnsi" w:hAnsiTheme="minorHAnsi" w:cstheme="minorHAnsi"/>
          <w:sz w:val="22"/>
          <w:szCs w:val="22"/>
        </w:rPr>
        <w:t>seizures 8.4 minutes before they occur. Its classifier consumes 17.2</w:t>
      </w:r>
      <w:r w:rsidR="00E952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636F" w:rsidRPr="005B752F">
        <w:rPr>
          <w:rFonts w:asciiTheme="minorHAnsi" w:hAnsiTheme="minorHAnsi" w:cstheme="minorHAnsi" w:hint="eastAsia"/>
          <w:sz w:val="22"/>
          <w:szCs w:val="22"/>
        </w:rPr>
        <w:t>μ</w:t>
      </w:r>
      <w:r w:rsidR="00F1636F" w:rsidRPr="005B752F">
        <w:rPr>
          <w:rFonts w:asciiTheme="minorHAnsi" w:hAnsiTheme="minorHAnsi" w:cstheme="minorHAnsi"/>
          <w:sz w:val="22"/>
          <w:szCs w:val="22"/>
        </w:rPr>
        <w:t>W</w:t>
      </w:r>
      <w:proofErr w:type="spellEnd"/>
      <w:r w:rsidR="00F1636F" w:rsidRPr="005B752F">
        <w:rPr>
          <w:rFonts w:asciiTheme="minorHAnsi" w:hAnsiTheme="minorHAnsi" w:cstheme="minorHAnsi"/>
          <w:sz w:val="22"/>
          <w:szCs w:val="22"/>
        </w:rPr>
        <w:t xml:space="preserve"> and occupies 0.14</w:t>
      </w:r>
      <w:r w:rsidR="00E952FB">
        <w:rPr>
          <w:rFonts w:asciiTheme="minorHAnsi" w:hAnsiTheme="minorHAnsi" w:cstheme="minorHAnsi"/>
          <w:sz w:val="22"/>
          <w:szCs w:val="22"/>
        </w:rPr>
        <w:t xml:space="preserve"> </w:t>
      </w:r>
      <w:r w:rsidR="00F1636F" w:rsidRPr="005B752F">
        <w:rPr>
          <w:rFonts w:asciiTheme="minorHAnsi" w:hAnsiTheme="minorHAnsi" w:cstheme="minorHAnsi"/>
          <w:sz w:val="22"/>
          <w:szCs w:val="22"/>
        </w:rPr>
        <w:t>mm</w:t>
      </w:r>
      <w:r w:rsidR="00F1636F" w:rsidRPr="005B752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1636F" w:rsidRPr="005B752F">
        <w:rPr>
          <w:rFonts w:asciiTheme="minorHAnsi" w:hAnsiTheme="minorHAnsi" w:cstheme="minorHAnsi"/>
          <w:sz w:val="22"/>
          <w:szCs w:val="22"/>
        </w:rPr>
        <w:t>, the lowest reported for a prediction classifier by &gt;134</w:t>
      </w:r>
      <w:r w:rsidR="00E952FB">
        <w:rPr>
          <w:rFonts w:asciiTheme="minorHAnsi" w:hAnsiTheme="minorHAnsi" w:cstheme="minorHAnsi"/>
          <w:sz w:val="22"/>
          <w:szCs w:val="22"/>
        </w:rPr>
        <w:t>X</w:t>
      </w:r>
      <w:r w:rsidR="00F1636F" w:rsidRPr="005B752F">
        <w:rPr>
          <w:rFonts w:asciiTheme="minorHAnsi" w:hAnsiTheme="minorHAnsi" w:cstheme="minorHAnsi"/>
          <w:sz w:val="22"/>
          <w:szCs w:val="22"/>
        </w:rPr>
        <w:t xml:space="preserve"> in power and &gt;5</w:t>
      </w:r>
      <w:r w:rsidR="00E952FB">
        <w:rPr>
          <w:rFonts w:asciiTheme="minorHAnsi" w:hAnsiTheme="minorHAnsi" w:cstheme="minorHAnsi"/>
          <w:sz w:val="22"/>
          <w:szCs w:val="22"/>
        </w:rPr>
        <w:t>X</w:t>
      </w:r>
      <w:r w:rsidR="00F1636F" w:rsidRPr="005B752F">
        <w:rPr>
          <w:rFonts w:asciiTheme="minorHAnsi" w:hAnsiTheme="minorHAnsi" w:cstheme="minorHAnsi"/>
          <w:sz w:val="22"/>
          <w:szCs w:val="22"/>
        </w:rPr>
        <w:t xml:space="preserve"> in area.</w:t>
      </w:r>
    </w:p>
    <w:p w14:paraId="3E8876DB" w14:textId="77777777" w:rsidR="00F1636F" w:rsidRPr="005B752F" w:rsidRDefault="00F1636F" w:rsidP="005B752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A0E239" w14:textId="33E6918E" w:rsidR="00FD1246" w:rsidRDefault="00F1636F" w:rsidP="009905F5">
      <w:r>
        <w:t xml:space="preserve">    </w:t>
      </w:r>
    </w:p>
    <w:p w14:paraId="1C28606C" w14:textId="2F6AB3C0" w:rsidR="00F1636F" w:rsidRDefault="00F1636F" w:rsidP="005B752F"/>
    <w:p w14:paraId="357ED861" w14:textId="77777777" w:rsidR="008A4472" w:rsidRDefault="008A4472" w:rsidP="005B752F"/>
    <w:p w14:paraId="54093153" w14:textId="77777777" w:rsidR="008A4472" w:rsidRDefault="008A4472" w:rsidP="005B752F"/>
    <w:p w14:paraId="06BF89E8" w14:textId="77777777" w:rsidR="008A4472" w:rsidRPr="005B752F" w:rsidRDefault="008A4472" w:rsidP="005B752F"/>
    <w:p w14:paraId="05349B14" w14:textId="3011CE38" w:rsidR="003312E7" w:rsidRPr="007650F7" w:rsidRDefault="003312E7" w:rsidP="00C420CC">
      <w:pPr>
        <w:pStyle w:val="NormalWeb"/>
        <w:shd w:val="clear" w:color="auto" w:fill="FFFFFF"/>
        <w:spacing w:before="160" w:beforeAutospacing="0" w:after="80" w:afterAutospacing="0" w:line="276" w:lineRule="auto"/>
        <w:rPr>
          <w:rFonts w:asciiTheme="minorHAnsi" w:hAnsiTheme="minorHAnsi" w:cstheme="minorHAnsi"/>
        </w:rPr>
      </w:pPr>
      <w:r w:rsidRPr="007650F7">
        <w:rPr>
          <w:rFonts w:asciiTheme="minorHAnsi" w:hAnsiTheme="minorHAnsi" w:cstheme="minorHAnsi"/>
          <w:b/>
          <w:bCs/>
        </w:rPr>
        <w:t>Sensors, Imagers, IoT, MEMS, Display Circuits</w:t>
      </w:r>
    </w:p>
    <w:p w14:paraId="4E2E1213" w14:textId="12696B74" w:rsidR="003312E7" w:rsidRPr="005B752F" w:rsidRDefault="003312E7" w:rsidP="00C420CC">
      <w:pPr>
        <w:rPr>
          <w:rFonts w:asciiTheme="minorHAnsi" w:hAnsiTheme="minorHAnsi" w:cstheme="minorHAnsi"/>
          <w:i/>
          <w:iCs/>
        </w:rPr>
      </w:pPr>
      <w:r w:rsidRPr="005B752F">
        <w:rPr>
          <w:rFonts w:asciiTheme="minorHAnsi" w:hAnsiTheme="minorHAnsi" w:cstheme="minorHAnsi"/>
          <w:i/>
          <w:iCs/>
        </w:rPr>
        <w:lastRenderedPageBreak/>
        <w:t>“3D-Stacked 1Megapixel Time-Gated SPAD Image Sensor with 2D Interactive Gating Network for Image Alignment-Free Sensor Fusion” – Canon Inc.</w:t>
      </w:r>
      <w:r w:rsidR="00276FE3">
        <w:rPr>
          <w:rFonts w:asciiTheme="minorHAnsi" w:hAnsiTheme="minorHAnsi" w:cstheme="minorHAnsi"/>
          <w:i/>
          <w:iCs/>
        </w:rPr>
        <w:t xml:space="preserve"> (Paper C6.1)</w:t>
      </w:r>
    </w:p>
    <w:p w14:paraId="291C524D" w14:textId="77777777" w:rsidR="0016340F" w:rsidRDefault="0016340F" w:rsidP="00C420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0"/>
        </w:rPr>
      </w:pPr>
    </w:p>
    <w:p w14:paraId="58784B80" w14:textId="76931520" w:rsidR="003312E7" w:rsidRDefault="0016340F" w:rsidP="00C420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0"/>
        </w:rPr>
      </w:pPr>
      <w:r>
        <w:rPr>
          <w:rFonts w:asciiTheme="minorHAnsi" w:hAnsiTheme="minorHAnsi" w:cstheme="minorHAnsi"/>
          <w:color w:val="000000"/>
          <w:kern w:val="0"/>
        </w:rPr>
        <w:t>Canon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 present</w:t>
      </w:r>
      <w:r>
        <w:rPr>
          <w:rFonts w:asciiTheme="minorHAnsi" w:hAnsiTheme="minorHAnsi" w:cstheme="minorHAnsi"/>
          <w:color w:val="000000"/>
          <w:kern w:val="0"/>
        </w:rPr>
        <w:t>s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 a 5μm-pitch, 3D-BSI 1Mpixel time-gated SPAD image sensor </w:t>
      </w:r>
      <w:r>
        <w:rPr>
          <w:rFonts w:asciiTheme="minorHAnsi" w:hAnsiTheme="minorHAnsi" w:cstheme="minorHAnsi"/>
          <w:color w:val="000000"/>
          <w:kern w:val="0"/>
        </w:rPr>
        <w:t>featuring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 2D interactive gating network, enabling image alignment-free sensor fusion. The SPAD image sensor operates at 1,310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 w:rsidRPr="005B752F">
        <w:rPr>
          <w:rFonts w:asciiTheme="minorHAnsi" w:hAnsiTheme="minorHAnsi" w:cstheme="minorHAnsi"/>
          <w:color w:val="000000"/>
          <w:kern w:val="0"/>
        </w:rPr>
        <w:t>fps for global shutter 2D imaging, and event vision sensing with 0.76</w:t>
      </w:r>
      <w:r>
        <w:rPr>
          <w:rFonts w:asciiTheme="minorHAnsi" w:hAnsiTheme="minorHAnsi" w:cstheme="minorHAnsi"/>
          <w:color w:val="000000"/>
          <w:kern w:val="0"/>
        </w:rPr>
        <w:t>-</w:t>
      </w:r>
      <w:r w:rsidRPr="005B752F">
        <w:rPr>
          <w:rFonts w:asciiTheme="minorHAnsi" w:hAnsiTheme="minorHAnsi" w:cstheme="minorHAnsi"/>
          <w:color w:val="000000"/>
          <w:kern w:val="0"/>
        </w:rPr>
        <w:t>ms temporal resolution under 0.02</w:t>
      </w:r>
      <w:r>
        <w:rPr>
          <w:rFonts w:asciiTheme="minorHAnsi" w:hAnsiTheme="minorHAnsi" w:cstheme="minorHAnsi"/>
          <w:color w:val="000000"/>
          <w:kern w:val="0"/>
        </w:rPr>
        <w:t xml:space="preserve"> </w:t>
      </w:r>
      <w:r w:rsidRPr="005B752F">
        <w:rPr>
          <w:rFonts w:asciiTheme="minorHAnsi" w:hAnsiTheme="minorHAnsi" w:cstheme="minorHAnsi"/>
          <w:color w:val="000000"/>
          <w:kern w:val="0"/>
        </w:rPr>
        <w:t xml:space="preserve">lux. </w:t>
      </w:r>
      <w:r>
        <w:rPr>
          <w:rFonts w:asciiTheme="minorHAnsi" w:hAnsiTheme="minorHAnsi" w:cstheme="minorHAnsi"/>
          <w:color w:val="000000"/>
          <w:kern w:val="0"/>
        </w:rPr>
        <w:t xml:space="preserve">Through range-gated imaging, this work </w:t>
      </w:r>
      <w:r w:rsidRPr="005B752F">
        <w:rPr>
          <w:rFonts w:asciiTheme="minorHAnsi" w:hAnsiTheme="minorHAnsi" w:cstheme="minorHAnsi"/>
          <w:color w:val="000000"/>
          <w:kern w:val="0"/>
        </w:rPr>
        <w:t>demonstrates a feasibility of robust imaging under harsh environments. The gating network architecture enables background suppression in 3D depth measurement under 50</w:t>
      </w:r>
      <w:r>
        <w:rPr>
          <w:rFonts w:asciiTheme="minorHAnsi" w:hAnsiTheme="minorHAnsi" w:cstheme="minorHAnsi"/>
          <w:color w:val="000000"/>
          <w:kern w:val="0"/>
        </w:rPr>
        <w:t>-</w:t>
      </w:r>
      <w:r w:rsidRPr="005B752F">
        <w:rPr>
          <w:rFonts w:asciiTheme="minorHAnsi" w:hAnsiTheme="minorHAnsi" w:cstheme="minorHAnsi"/>
          <w:color w:val="000000"/>
          <w:kern w:val="0"/>
        </w:rPr>
        <w:t>klux ambient light.</w:t>
      </w:r>
    </w:p>
    <w:p w14:paraId="3E5A1A60" w14:textId="2CFFF6A3" w:rsidR="00FD1246" w:rsidRDefault="00FD1246" w:rsidP="005B75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kern w:val="0"/>
        </w:rPr>
      </w:pPr>
    </w:p>
    <w:p w14:paraId="0F8DBDB5" w14:textId="77777777" w:rsidR="003312E7" w:rsidRDefault="003312E7" w:rsidP="00C420CC">
      <w:pPr>
        <w:pStyle w:val="Heading3"/>
      </w:pPr>
      <w:r>
        <w:rPr>
          <w:b/>
          <w:bCs/>
          <w:sz w:val="24"/>
          <w:szCs w:val="24"/>
        </w:rPr>
        <w:t>Data Converters</w:t>
      </w:r>
    </w:p>
    <w:p w14:paraId="4BB391E2" w14:textId="1D1D6785" w:rsidR="003312E7" w:rsidRDefault="003312E7" w:rsidP="00C420CC">
      <w:pPr>
        <w:pStyle w:val="Heading3"/>
        <w:spacing w:before="0" w:after="0"/>
        <w:rPr>
          <w:i/>
          <w:iCs/>
          <w:sz w:val="22"/>
          <w:szCs w:val="22"/>
        </w:rPr>
      </w:pPr>
      <w:r w:rsidRPr="007650F7">
        <w:rPr>
          <w:i/>
          <w:iCs/>
          <w:sz w:val="22"/>
          <w:szCs w:val="22"/>
        </w:rPr>
        <w:t>“</w:t>
      </w:r>
      <w:r w:rsidRPr="00000844">
        <w:rPr>
          <w:i/>
          <w:iCs/>
          <w:sz w:val="22"/>
          <w:szCs w:val="22"/>
        </w:rPr>
        <w:t>A 16GS/s 10b Time-domain ADC using Pipelined-SAR TDC with Delay Variability Compensation and Background Calibration Achieving 153.8</w:t>
      </w:r>
      <w:r w:rsidR="00BC1ACF">
        <w:rPr>
          <w:i/>
          <w:iCs/>
          <w:sz w:val="22"/>
          <w:szCs w:val="22"/>
        </w:rPr>
        <w:t>-</w:t>
      </w:r>
      <w:r w:rsidRPr="00000844">
        <w:rPr>
          <w:i/>
          <w:iCs/>
          <w:sz w:val="22"/>
          <w:szCs w:val="22"/>
        </w:rPr>
        <w:t xml:space="preserve">dB </w:t>
      </w:r>
      <w:proofErr w:type="spellStart"/>
      <w:r w:rsidRPr="00000844">
        <w:rPr>
          <w:i/>
          <w:iCs/>
          <w:sz w:val="22"/>
          <w:szCs w:val="22"/>
        </w:rPr>
        <w:t>FoM</w:t>
      </w:r>
      <w:proofErr w:type="spellEnd"/>
      <w:r w:rsidRPr="00000844">
        <w:rPr>
          <w:i/>
          <w:iCs/>
          <w:sz w:val="22"/>
          <w:szCs w:val="22"/>
        </w:rPr>
        <w:t xml:space="preserve"> in 4nm CMOS</w:t>
      </w:r>
      <w:r w:rsidRPr="007650F7">
        <w:rPr>
          <w:i/>
          <w:iCs/>
          <w:sz w:val="22"/>
          <w:szCs w:val="22"/>
        </w:rPr>
        <w:t xml:space="preserve">” – </w:t>
      </w:r>
      <w:r>
        <w:rPr>
          <w:i/>
          <w:iCs/>
          <w:sz w:val="22"/>
          <w:szCs w:val="22"/>
        </w:rPr>
        <w:t>University of Southern California</w:t>
      </w:r>
      <w:r w:rsidR="00073214">
        <w:rPr>
          <w:i/>
          <w:iCs/>
          <w:sz w:val="22"/>
          <w:szCs w:val="22"/>
        </w:rPr>
        <w:t xml:space="preserve"> and MediaTek</w:t>
      </w:r>
      <w:r w:rsidR="00276FE3">
        <w:rPr>
          <w:i/>
          <w:iCs/>
          <w:sz w:val="22"/>
          <w:szCs w:val="22"/>
        </w:rPr>
        <w:t xml:space="preserve"> (Paper C24.2)</w:t>
      </w:r>
    </w:p>
    <w:p w14:paraId="502C43F1" w14:textId="77777777" w:rsidR="00073214" w:rsidRPr="005B752F" w:rsidRDefault="00073214" w:rsidP="00C420CC"/>
    <w:p w14:paraId="2F0510A6" w14:textId="65A19454" w:rsidR="00C55CE4" w:rsidRDefault="00073214" w:rsidP="00C420C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Researchers from the University of Southern California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Mediatek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jointly propose</w:t>
      </w:r>
      <w:r w:rsidRPr="005B752F">
        <w:rPr>
          <w:rFonts w:asciiTheme="minorHAnsi" w:hAnsiTheme="minorHAnsi" w:cstheme="minorHAnsi"/>
          <w:sz w:val="22"/>
          <w:szCs w:val="22"/>
        </w:rPr>
        <w:t xml:space="preserve"> a direct-RF sampling time-domain ADC</w:t>
      </w:r>
      <w:r>
        <w:rPr>
          <w:rFonts w:asciiTheme="minorHAnsi" w:hAnsiTheme="minorHAnsi" w:cstheme="minorHAnsi"/>
          <w:sz w:val="22"/>
          <w:szCs w:val="22"/>
        </w:rPr>
        <w:t xml:space="preserve"> that</w:t>
      </w:r>
      <w:r w:rsidRPr="005B752F">
        <w:rPr>
          <w:rFonts w:asciiTheme="minorHAnsi" w:hAnsiTheme="minorHAnsi" w:cstheme="minorHAnsi"/>
          <w:sz w:val="22"/>
          <w:szCs w:val="22"/>
        </w:rPr>
        <w:t xml:space="preserve"> achiev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5B752F">
        <w:rPr>
          <w:rFonts w:asciiTheme="minorHAnsi" w:hAnsiTheme="minorHAnsi" w:cstheme="minorHAnsi"/>
          <w:sz w:val="22"/>
          <w:szCs w:val="22"/>
        </w:rPr>
        <w:t xml:space="preserve"> 10-bit conversion </w:t>
      </w:r>
      <w:r w:rsidR="00C55CE4">
        <w:rPr>
          <w:rFonts w:asciiTheme="minorHAnsi" w:hAnsiTheme="minorHAnsi" w:cstheme="minorHAnsi"/>
          <w:sz w:val="22"/>
          <w:szCs w:val="22"/>
        </w:rPr>
        <w:t>at 16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r w:rsidR="00C55CE4">
        <w:rPr>
          <w:rFonts w:asciiTheme="minorHAnsi" w:hAnsiTheme="minorHAnsi" w:cstheme="minorHAnsi"/>
          <w:sz w:val="22"/>
          <w:szCs w:val="22"/>
        </w:rPr>
        <w:t xml:space="preserve">GS/s </w:t>
      </w:r>
      <w:r w:rsidRPr="005B752F">
        <w:rPr>
          <w:rFonts w:asciiTheme="minorHAnsi" w:hAnsiTheme="minorHAnsi" w:cstheme="minorHAnsi"/>
          <w:sz w:val="22"/>
          <w:szCs w:val="22"/>
        </w:rPr>
        <w:t xml:space="preserve">using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5B752F">
        <w:rPr>
          <w:rFonts w:asciiTheme="minorHAnsi" w:hAnsiTheme="minorHAnsi" w:cstheme="minorHAnsi"/>
          <w:sz w:val="22"/>
          <w:szCs w:val="22"/>
        </w:rPr>
        <w:t>ly 4</w:t>
      </w:r>
      <w:r>
        <w:rPr>
          <w:rFonts w:asciiTheme="minorHAnsi" w:hAnsiTheme="minorHAnsi" w:cstheme="minorHAnsi"/>
          <w:sz w:val="22"/>
          <w:szCs w:val="22"/>
        </w:rPr>
        <w:t>X</w:t>
      </w:r>
      <w:r w:rsidRPr="005B752F">
        <w:rPr>
          <w:rFonts w:asciiTheme="minorHAnsi" w:hAnsiTheme="minorHAnsi" w:cstheme="minorHAnsi"/>
          <w:sz w:val="22"/>
          <w:szCs w:val="22"/>
        </w:rPr>
        <w:t xml:space="preserve"> time-interleaving in 4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B752F">
        <w:rPr>
          <w:rFonts w:asciiTheme="minorHAnsi" w:hAnsiTheme="minorHAnsi" w:cstheme="minorHAnsi"/>
          <w:sz w:val="22"/>
          <w:szCs w:val="22"/>
        </w:rPr>
        <w:t>nm</w:t>
      </w:r>
      <w:r>
        <w:rPr>
          <w:rFonts w:asciiTheme="minorHAnsi" w:hAnsiTheme="minorHAnsi" w:cstheme="minorHAnsi"/>
          <w:sz w:val="22"/>
          <w:szCs w:val="22"/>
        </w:rPr>
        <w:t xml:space="preserve"> CMOS</w:t>
      </w:r>
      <w:r w:rsidRPr="005B752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The architecture features a</w:t>
      </w:r>
      <w:r w:rsidRPr="005B752F">
        <w:rPr>
          <w:rFonts w:asciiTheme="minorHAnsi" w:hAnsiTheme="minorHAnsi" w:cstheme="minorHAnsi"/>
          <w:sz w:val="22"/>
          <w:szCs w:val="22"/>
        </w:rPr>
        <w:t xml:space="preserve"> redundancy-based </w:t>
      </w:r>
      <w:r w:rsidR="00C55CE4">
        <w:rPr>
          <w:rFonts w:asciiTheme="minorHAnsi" w:hAnsiTheme="minorHAnsi" w:cstheme="minorHAnsi"/>
          <w:sz w:val="22"/>
          <w:szCs w:val="22"/>
        </w:rPr>
        <w:t>time-to-digital converter (</w:t>
      </w:r>
      <w:r w:rsidRPr="005B752F">
        <w:rPr>
          <w:rFonts w:asciiTheme="minorHAnsi" w:hAnsiTheme="minorHAnsi" w:cstheme="minorHAnsi"/>
          <w:sz w:val="22"/>
          <w:szCs w:val="22"/>
        </w:rPr>
        <w:t>TDC</w:t>
      </w:r>
      <w:r w:rsidR="00C55CE4">
        <w:rPr>
          <w:rFonts w:asciiTheme="minorHAnsi" w:hAnsiTheme="minorHAnsi" w:cstheme="minorHAnsi"/>
          <w:sz w:val="22"/>
          <w:szCs w:val="22"/>
        </w:rPr>
        <w:t>)</w:t>
      </w:r>
      <w:r w:rsidRPr="005B752F">
        <w:rPr>
          <w:rFonts w:asciiTheme="minorHAnsi" w:hAnsiTheme="minorHAnsi" w:cstheme="minorHAnsi"/>
          <w:sz w:val="22"/>
          <w:szCs w:val="22"/>
        </w:rPr>
        <w:t xml:space="preserve"> delay variability compensation scheme, a background delay offset calibration scheme, and a bottom-plate sampling </w:t>
      </w:r>
      <w:r w:rsidR="00C55CE4">
        <w:rPr>
          <w:rFonts w:asciiTheme="minorHAnsi" w:hAnsiTheme="minorHAnsi" w:cstheme="minorHAnsi"/>
          <w:sz w:val="22"/>
          <w:szCs w:val="22"/>
        </w:rPr>
        <w:t>voltage-to-time converter (</w:t>
      </w:r>
      <w:r w:rsidRPr="005B752F">
        <w:rPr>
          <w:rFonts w:asciiTheme="minorHAnsi" w:hAnsiTheme="minorHAnsi" w:cstheme="minorHAnsi"/>
          <w:sz w:val="22"/>
          <w:szCs w:val="22"/>
        </w:rPr>
        <w:t>VTC</w:t>
      </w:r>
      <w:r w:rsidR="00C55CE4">
        <w:rPr>
          <w:rFonts w:asciiTheme="minorHAnsi" w:hAnsiTheme="minorHAnsi" w:cstheme="minorHAnsi"/>
          <w:sz w:val="22"/>
          <w:szCs w:val="22"/>
        </w:rPr>
        <w:t>)</w:t>
      </w:r>
      <w:r w:rsidRPr="005B752F">
        <w:rPr>
          <w:rFonts w:asciiTheme="minorHAnsi" w:hAnsiTheme="minorHAnsi" w:cstheme="minorHAnsi"/>
          <w:sz w:val="22"/>
          <w:szCs w:val="22"/>
        </w:rPr>
        <w:t xml:space="preserve"> structure to achieve high SNR and linearity. </w:t>
      </w:r>
      <w:r w:rsidR="00C55CE4">
        <w:rPr>
          <w:rFonts w:asciiTheme="minorHAnsi" w:hAnsiTheme="minorHAnsi" w:cstheme="minorHAnsi"/>
          <w:sz w:val="22"/>
          <w:szCs w:val="22"/>
        </w:rPr>
        <w:t xml:space="preserve">Silicon </w:t>
      </w:r>
      <w:r w:rsidRPr="005B752F">
        <w:rPr>
          <w:rFonts w:asciiTheme="minorHAnsi" w:hAnsiTheme="minorHAnsi" w:cstheme="minorHAnsi"/>
          <w:sz w:val="22"/>
          <w:szCs w:val="22"/>
        </w:rPr>
        <w:t>achieves a 55.93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B752F">
        <w:rPr>
          <w:rFonts w:asciiTheme="minorHAnsi" w:hAnsiTheme="minorHAnsi" w:cstheme="minorHAnsi"/>
          <w:sz w:val="22"/>
          <w:szCs w:val="22"/>
        </w:rPr>
        <w:t>dB SFDR and 44.48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B752F">
        <w:rPr>
          <w:rFonts w:asciiTheme="minorHAnsi" w:hAnsiTheme="minorHAnsi" w:cstheme="minorHAnsi"/>
          <w:sz w:val="22"/>
          <w:szCs w:val="22"/>
        </w:rPr>
        <w:t>dB SNDR at Nyquist w</w:t>
      </w:r>
      <w:r w:rsidR="00C55CE4">
        <w:rPr>
          <w:rFonts w:asciiTheme="minorHAnsi" w:hAnsiTheme="minorHAnsi" w:cstheme="minorHAnsi"/>
          <w:sz w:val="22"/>
          <w:szCs w:val="22"/>
        </w:rPr>
        <w:t>hile consuming</w:t>
      </w:r>
      <w:r w:rsidRPr="005B752F">
        <w:rPr>
          <w:rFonts w:asciiTheme="minorHAnsi" w:hAnsiTheme="minorHAnsi" w:cstheme="minorHAnsi"/>
          <w:sz w:val="22"/>
          <w:szCs w:val="22"/>
        </w:rPr>
        <w:t xml:space="preserve"> 94.2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752F">
        <w:rPr>
          <w:rFonts w:asciiTheme="minorHAnsi" w:hAnsiTheme="minorHAnsi" w:cstheme="minorHAnsi"/>
          <w:sz w:val="22"/>
          <w:szCs w:val="22"/>
        </w:rPr>
        <w:t>mW</w:t>
      </w:r>
      <w:proofErr w:type="spellEnd"/>
      <w:r w:rsidRPr="005B752F">
        <w:rPr>
          <w:rFonts w:asciiTheme="minorHAnsi" w:hAnsiTheme="minorHAnsi" w:cstheme="minorHAnsi"/>
          <w:sz w:val="22"/>
          <w:szCs w:val="22"/>
        </w:rPr>
        <w:t xml:space="preserve"> and </w:t>
      </w:r>
      <w:r w:rsidR="00C55CE4">
        <w:rPr>
          <w:rFonts w:asciiTheme="minorHAnsi" w:hAnsiTheme="minorHAnsi" w:cstheme="minorHAnsi"/>
          <w:sz w:val="22"/>
          <w:szCs w:val="22"/>
        </w:rPr>
        <w:t>occup</w:t>
      </w:r>
      <w:r w:rsidR="00BC1ACF">
        <w:rPr>
          <w:rFonts w:asciiTheme="minorHAnsi" w:hAnsiTheme="minorHAnsi" w:cstheme="minorHAnsi"/>
          <w:sz w:val="22"/>
          <w:szCs w:val="22"/>
        </w:rPr>
        <w:t>ying</w:t>
      </w:r>
      <w:r w:rsidR="00C55CE4">
        <w:rPr>
          <w:rFonts w:asciiTheme="minorHAnsi" w:hAnsiTheme="minorHAnsi" w:cstheme="minorHAnsi"/>
          <w:sz w:val="22"/>
          <w:szCs w:val="22"/>
        </w:rPr>
        <w:t xml:space="preserve"> </w:t>
      </w:r>
      <w:r w:rsidRPr="005B752F">
        <w:rPr>
          <w:rFonts w:asciiTheme="minorHAnsi" w:hAnsiTheme="minorHAnsi" w:cstheme="minorHAnsi"/>
          <w:sz w:val="22"/>
          <w:szCs w:val="22"/>
        </w:rPr>
        <w:t>8000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r w:rsidR="00C55CE4" w:rsidRPr="005B752F">
        <w:rPr>
          <w:rFonts w:asciiTheme="minorHAnsi" w:hAnsiTheme="minorHAnsi" w:cstheme="minorHAnsi"/>
          <w:sz w:val="22"/>
          <w:szCs w:val="22"/>
        </w:rPr>
        <w:t>μ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5B752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C55CE4">
        <w:rPr>
          <w:rFonts w:asciiTheme="minorHAnsi" w:hAnsiTheme="minorHAnsi" w:cstheme="minorHAnsi"/>
          <w:sz w:val="22"/>
          <w:szCs w:val="22"/>
        </w:rPr>
        <w:t xml:space="preserve"> of ac</w:t>
      </w:r>
      <w:r w:rsidRPr="005B752F">
        <w:rPr>
          <w:rFonts w:asciiTheme="minorHAnsi" w:hAnsiTheme="minorHAnsi" w:cstheme="minorHAnsi"/>
          <w:sz w:val="22"/>
          <w:szCs w:val="22"/>
        </w:rPr>
        <w:t xml:space="preserve">tive area, leading to a state-of-the-art Schreier </w:t>
      </w:r>
      <w:proofErr w:type="spellStart"/>
      <w:r w:rsidRPr="005B752F">
        <w:rPr>
          <w:rFonts w:asciiTheme="minorHAnsi" w:hAnsiTheme="minorHAnsi" w:cstheme="minorHAnsi"/>
          <w:sz w:val="22"/>
          <w:szCs w:val="22"/>
        </w:rPr>
        <w:t>FoM</w:t>
      </w:r>
      <w:proofErr w:type="spellEnd"/>
      <w:r w:rsidR="00C55CE4">
        <w:rPr>
          <w:rFonts w:asciiTheme="minorHAnsi" w:hAnsiTheme="minorHAnsi" w:cstheme="minorHAnsi"/>
          <w:sz w:val="22"/>
          <w:szCs w:val="22"/>
        </w:rPr>
        <w:t xml:space="preserve"> of 153.8 </w:t>
      </w:r>
      <w:proofErr w:type="spellStart"/>
      <w:r w:rsidR="00C55CE4">
        <w:rPr>
          <w:rFonts w:asciiTheme="minorHAnsi" w:hAnsiTheme="minorHAnsi" w:cstheme="minorHAnsi"/>
          <w:sz w:val="22"/>
          <w:szCs w:val="22"/>
        </w:rPr>
        <w:t>dB</w:t>
      </w:r>
      <w:r w:rsidRPr="005B752F">
        <w:rPr>
          <w:rFonts w:asciiTheme="minorHAnsi" w:hAnsiTheme="minorHAnsi" w:cstheme="minorHAnsi"/>
          <w:sz w:val="22"/>
          <w:szCs w:val="22"/>
        </w:rPr>
        <w:t>.</w:t>
      </w:r>
      <w:proofErr w:type="spellEnd"/>
    </w:p>
    <w:p w14:paraId="18F4BDF8" w14:textId="77777777" w:rsidR="00037DBF" w:rsidRPr="005B752F" w:rsidRDefault="00037DBF" w:rsidP="005B752F">
      <w:pPr>
        <w:pStyle w:val="NormalWeb"/>
        <w:spacing w:before="0" w:beforeAutospacing="0" w:after="0" w:afterAutospacing="0" w:line="276" w:lineRule="auto"/>
        <w:jc w:val="both"/>
        <w:rPr>
          <w:rFonts w:cstheme="minorHAnsi"/>
          <w:sz w:val="22"/>
          <w:szCs w:val="22"/>
        </w:rPr>
      </w:pPr>
    </w:p>
    <w:p w14:paraId="718D1603" w14:textId="16E00041" w:rsidR="003312E7" w:rsidRPr="007650F7" w:rsidRDefault="003312E7" w:rsidP="00C420CC">
      <w:pPr>
        <w:pStyle w:val="NormalWeb"/>
        <w:shd w:val="clear" w:color="auto" w:fill="FFFFFF"/>
        <w:spacing w:before="160" w:beforeAutospacing="0" w:after="80" w:afterAutospacing="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Analog and Mixed-signal Circuit</w:t>
      </w:r>
      <w:r w:rsidRPr="007650F7">
        <w:rPr>
          <w:rFonts w:asciiTheme="minorHAnsi" w:hAnsiTheme="minorHAnsi" w:cstheme="minorHAnsi"/>
          <w:b/>
          <w:bCs/>
        </w:rPr>
        <w:t>s</w:t>
      </w:r>
    </w:p>
    <w:p w14:paraId="4C92532C" w14:textId="0E5C57A1" w:rsidR="003312E7" w:rsidRDefault="003312E7" w:rsidP="00C420CC">
      <w:pPr>
        <w:rPr>
          <w:i/>
          <w:iCs/>
        </w:rPr>
      </w:pPr>
      <w:r w:rsidRPr="007650F7">
        <w:rPr>
          <w:i/>
          <w:iCs/>
        </w:rPr>
        <w:t>“</w:t>
      </w:r>
      <w:r w:rsidRPr="003D0187">
        <w:rPr>
          <w:i/>
          <w:iCs/>
        </w:rPr>
        <w:t>A 5.8</w:t>
      </w:r>
      <w:r w:rsidR="00BC1ACF">
        <w:rPr>
          <w:i/>
          <w:iCs/>
        </w:rPr>
        <w:t>-</w:t>
      </w:r>
      <w:r w:rsidRPr="003D0187">
        <w:rPr>
          <w:i/>
          <w:iCs/>
        </w:rPr>
        <w:t>W, 0.00086% THD+N, 118</w:t>
      </w:r>
      <w:r w:rsidR="00BC1ACF">
        <w:rPr>
          <w:i/>
          <w:iCs/>
        </w:rPr>
        <w:t>-</w:t>
      </w:r>
      <w:r w:rsidRPr="003D0187">
        <w:rPr>
          <w:i/>
          <w:iCs/>
        </w:rPr>
        <w:t>dB PSRR Class-D Audio Amplifier with Passive Output Common-Mode Compensation Technique for Wide Output Power Range</w:t>
      </w:r>
      <w:r w:rsidRPr="007650F7">
        <w:rPr>
          <w:i/>
          <w:iCs/>
        </w:rPr>
        <w:t xml:space="preserve">” – </w:t>
      </w:r>
      <w:r>
        <w:rPr>
          <w:i/>
          <w:iCs/>
        </w:rPr>
        <w:t>Samsung Electronics</w:t>
      </w:r>
      <w:r w:rsidR="00276FE3">
        <w:rPr>
          <w:i/>
          <w:iCs/>
        </w:rPr>
        <w:t xml:space="preserve"> (Paper C5.3)</w:t>
      </w:r>
    </w:p>
    <w:p w14:paraId="2709489B" w14:textId="77777777" w:rsidR="00645B91" w:rsidRPr="007650F7" w:rsidRDefault="00645B91" w:rsidP="00C420CC">
      <w:pPr>
        <w:rPr>
          <w:i/>
          <w:iCs/>
        </w:rPr>
      </w:pPr>
    </w:p>
    <w:p w14:paraId="6517C99B" w14:textId="32C6BBBE" w:rsidR="007F5119" w:rsidRDefault="00645B91" w:rsidP="008A4472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B752F">
        <w:rPr>
          <w:rFonts w:asciiTheme="minorHAnsi" w:hAnsiTheme="minorHAnsi" w:cstheme="minorHAnsi"/>
          <w:sz w:val="22"/>
          <w:szCs w:val="22"/>
        </w:rPr>
        <w:t xml:space="preserve">Authors from Samsung Electronics propose a Class-D audio amplifier (CDA) with two key techniques: passive output common-mode compensation </w:t>
      </w:r>
      <w:r>
        <w:rPr>
          <w:rFonts w:asciiTheme="minorHAnsi" w:hAnsiTheme="minorHAnsi" w:cstheme="minorHAnsi"/>
          <w:sz w:val="22"/>
          <w:szCs w:val="22"/>
        </w:rPr>
        <w:t xml:space="preserve">(POCMC) </w:t>
      </w:r>
      <w:r w:rsidRPr="005B752F">
        <w:rPr>
          <w:rFonts w:asciiTheme="minorHAnsi" w:hAnsiTheme="minorHAnsi" w:cstheme="minorHAnsi"/>
          <w:sz w:val="22"/>
          <w:szCs w:val="22"/>
        </w:rPr>
        <w:t xml:space="preserve">to achieve high linearity over a wide output power range and a complementary tri-wave common-mode feedback (CTRI-CMFB) to improve PSRR. </w:t>
      </w:r>
      <w:r>
        <w:rPr>
          <w:rFonts w:asciiTheme="minorHAnsi" w:hAnsiTheme="minorHAnsi" w:cstheme="minorHAnsi"/>
          <w:sz w:val="22"/>
          <w:szCs w:val="22"/>
        </w:rPr>
        <w:t xml:space="preserve">Occupying </w:t>
      </w:r>
      <w:r w:rsidRPr="007650F7">
        <w:rPr>
          <w:rFonts w:asciiTheme="minorHAnsi" w:hAnsiTheme="minorHAnsi" w:cstheme="minorHAnsi"/>
          <w:sz w:val="22"/>
          <w:szCs w:val="22"/>
        </w:rPr>
        <w:t>1.46m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7650F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in </w:t>
      </w:r>
      <w:r w:rsidRPr="007650F7">
        <w:rPr>
          <w:rFonts w:asciiTheme="minorHAnsi" w:hAnsiTheme="minorHAnsi" w:cstheme="minorHAnsi"/>
          <w:sz w:val="22"/>
          <w:szCs w:val="22"/>
        </w:rPr>
        <w:t>a 0.13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7650F7">
        <w:rPr>
          <w:rFonts w:asciiTheme="minorHAnsi" w:hAnsiTheme="minorHAnsi" w:cstheme="minorHAnsi"/>
          <w:sz w:val="22"/>
          <w:szCs w:val="22"/>
        </w:rPr>
        <w:t>μm BCD process</w:t>
      </w:r>
      <w:r>
        <w:rPr>
          <w:rFonts w:asciiTheme="minorHAnsi" w:hAnsiTheme="minorHAnsi" w:cstheme="minorHAnsi"/>
          <w:sz w:val="22"/>
          <w:szCs w:val="22"/>
        </w:rPr>
        <w:t>, t</w:t>
      </w:r>
      <w:r w:rsidRPr="005B752F">
        <w:rPr>
          <w:rFonts w:asciiTheme="minorHAnsi" w:hAnsiTheme="minorHAnsi" w:cstheme="minorHAnsi"/>
          <w:sz w:val="22"/>
          <w:szCs w:val="22"/>
        </w:rPr>
        <w:t>he CDA achieves 0.00086% THD+N, 118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r w:rsidRPr="005B752F">
        <w:rPr>
          <w:rFonts w:asciiTheme="minorHAnsi" w:hAnsiTheme="minorHAnsi" w:cstheme="minorHAnsi"/>
          <w:sz w:val="22"/>
          <w:szCs w:val="22"/>
        </w:rPr>
        <w:t>dB PSRR, and a maximum output power of 5.8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r w:rsidRPr="005B752F">
        <w:rPr>
          <w:rFonts w:asciiTheme="minorHAnsi" w:hAnsiTheme="minorHAnsi" w:cstheme="minorHAnsi"/>
          <w:sz w:val="22"/>
          <w:szCs w:val="22"/>
        </w:rPr>
        <w:t>W (THD+N=1%) with an efficiency of 93.2% on an 8</w:t>
      </w:r>
      <w:r w:rsidR="00BC1ACF">
        <w:rPr>
          <w:rFonts w:asciiTheme="minorHAnsi" w:hAnsiTheme="minorHAnsi" w:cstheme="minorHAnsi"/>
          <w:sz w:val="22"/>
          <w:szCs w:val="22"/>
        </w:rPr>
        <w:t>-</w:t>
      </w:r>
      <w:r w:rsidRPr="005B752F">
        <w:rPr>
          <w:rFonts w:asciiTheme="minorHAnsi" w:hAnsiTheme="minorHAnsi" w:cstheme="minorHAnsi" w:hint="eastAsia"/>
          <w:sz w:val="22"/>
          <w:szCs w:val="22"/>
        </w:rPr>
        <w:t>Ω</w:t>
      </w:r>
      <w:r w:rsidRPr="005B752F">
        <w:rPr>
          <w:rFonts w:asciiTheme="minorHAnsi" w:hAnsiTheme="minorHAnsi" w:cstheme="minorHAnsi"/>
          <w:sz w:val="22"/>
          <w:szCs w:val="22"/>
        </w:rPr>
        <w:t xml:space="preserve"> load.</w:t>
      </w:r>
    </w:p>
    <w:p w14:paraId="6C487127" w14:textId="2BD65765" w:rsidR="00FD1246" w:rsidRDefault="007F5119" w:rsidP="00645B91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A4058ED" w14:textId="2FD7EC67" w:rsidR="00EA1E34" w:rsidRDefault="00EA1E34" w:rsidP="00C420CC">
      <w:pPr>
        <w:pStyle w:val="Heading3"/>
      </w:pPr>
      <w:r>
        <w:rPr>
          <w:b/>
          <w:bCs/>
          <w:sz w:val="24"/>
          <w:szCs w:val="24"/>
        </w:rPr>
        <w:t>Wireline and Optical Transceivers, Optical Inter</w:t>
      </w:r>
      <w:r w:rsidR="00312DEB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onnect and Processors</w:t>
      </w:r>
    </w:p>
    <w:p w14:paraId="41A05DE1" w14:textId="541F2F27" w:rsidR="00EA1E34" w:rsidRDefault="00EA1E34" w:rsidP="00C420CC">
      <w:pPr>
        <w:pStyle w:val="Heading3"/>
        <w:spacing w:before="0" w:after="0"/>
        <w:rPr>
          <w:i/>
          <w:iCs/>
          <w:sz w:val="22"/>
          <w:szCs w:val="22"/>
        </w:rPr>
      </w:pPr>
      <w:r w:rsidRPr="007650F7">
        <w:rPr>
          <w:i/>
          <w:iCs/>
          <w:sz w:val="22"/>
          <w:szCs w:val="22"/>
        </w:rPr>
        <w:t>“</w:t>
      </w:r>
      <w:r w:rsidRPr="00EA1E34">
        <w:rPr>
          <w:i/>
          <w:iCs/>
          <w:sz w:val="22"/>
          <w:szCs w:val="22"/>
        </w:rPr>
        <w:t>A 0.296</w:t>
      </w:r>
      <w:r w:rsidR="00BC1ACF">
        <w:rPr>
          <w:i/>
          <w:iCs/>
          <w:sz w:val="22"/>
          <w:szCs w:val="22"/>
        </w:rPr>
        <w:t>-</w:t>
      </w:r>
      <w:r w:rsidRPr="00EA1E34">
        <w:rPr>
          <w:i/>
          <w:iCs/>
          <w:sz w:val="22"/>
          <w:szCs w:val="22"/>
        </w:rPr>
        <w:t>pJ/bit 17.9</w:t>
      </w:r>
      <w:r w:rsidR="00BC1ACF">
        <w:rPr>
          <w:i/>
          <w:iCs/>
          <w:sz w:val="22"/>
          <w:szCs w:val="22"/>
        </w:rPr>
        <w:t>-</w:t>
      </w:r>
      <w:r w:rsidRPr="00EA1E34">
        <w:rPr>
          <w:i/>
          <w:iCs/>
          <w:sz w:val="22"/>
          <w:szCs w:val="22"/>
        </w:rPr>
        <w:t>Tb/s/mm</w:t>
      </w:r>
      <w:r w:rsidRPr="005B752F">
        <w:rPr>
          <w:i/>
          <w:iCs/>
          <w:sz w:val="22"/>
          <w:szCs w:val="22"/>
          <w:vertAlign w:val="superscript"/>
        </w:rPr>
        <w:t>2</w:t>
      </w:r>
      <w:r w:rsidRPr="00EA1E34">
        <w:rPr>
          <w:i/>
          <w:iCs/>
          <w:sz w:val="22"/>
          <w:szCs w:val="22"/>
        </w:rPr>
        <w:t xml:space="preserve"> Die-to-Die Link in 5nm/6nm FinFET on a 9</w:t>
      </w:r>
      <w:r w:rsidR="00BC1ACF">
        <w:rPr>
          <w:i/>
          <w:iCs/>
          <w:sz w:val="22"/>
          <w:szCs w:val="22"/>
        </w:rPr>
        <w:t>-</w:t>
      </w:r>
      <w:r w:rsidRPr="005B752F">
        <w:rPr>
          <w:i/>
          <w:iCs/>
          <w:sz w:val="22"/>
          <w:szCs w:val="22"/>
        </w:rPr>
        <w:t>μ</w:t>
      </w:r>
      <w:r w:rsidRPr="00EA1E34">
        <w:rPr>
          <w:i/>
          <w:iCs/>
          <w:sz w:val="22"/>
          <w:szCs w:val="22"/>
        </w:rPr>
        <w:t>m-pitch 3D Package Achieving 10.24</w:t>
      </w:r>
      <w:r w:rsidR="00BC1ACF">
        <w:rPr>
          <w:i/>
          <w:iCs/>
          <w:sz w:val="22"/>
          <w:szCs w:val="22"/>
        </w:rPr>
        <w:t xml:space="preserve"> </w:t>
      </w:r>
      <w:r w:rsidRPr="00EA1E34">
        <w:rPr>
          <w:i/>
          <w:iCs/>
          <w:sz w:val="22"/>
          <w:szCs w:val="22"/>
        </w:rPr>
        <w:t>Tb/s Bandwidth at 16</w:t>
      </w:r>
      <w:r w:rsidR="00BC1ACF">
        <w:rPr>
          <w:i/>
          <w:iCs/>
          <w:sz w:val="22"/>
          <w:szCs w:val="22"/>
        </w:rPr>
        <w:t xml:space="preserve"> </w:t>
      </w:r>
      <w:r w:rsidRPr="00EA1E34">
        <w:rPr>
          <w:i/>
          <w:iCs/>
          <w:sz w:val="22"/>
          <w:szCs w:val="22"/>
        </w:rPr>
        <w:t>Gb/s PAM-4</w:t>
      </w:r>
      <w:r w:rsidRPr="007650F7">
        <w:rPr>
          <w:i/>
          <w:iCs/>
          <w:sz w:val="22"/>
          <w:szCs w:val="22"/>
        </w:rPr>
        <w:t xml:space="preserve">” – </w:t>
      </w:r>
      <w:r>
        <w:rPr>
          <w:i/>
          <w:iCs/>
          <w:sz w:val="22"/>
          <w:szCs w:val="22"/>
        </w:rPr>
        <w:t>TSM</w:t>
      </w:r>
      <w:r w:rsidR="00956BF2">
        <w:rPr>
          <w:i/>
          <w:iCs/>
          <w:sz w:val="22"/>
          <w:szCs w:val="22"/>
        </w:rPr>
        <w:t>C (Paper C14.1)</w:t>
      </w:r>
    </w:p>
    <w:p w14:paraId="6960EC4F" w14:textId="77777777" w:rsidR="004628E9" w:rsidRDefault="004628E9" w:rsidP="00C420C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1DFF223" w14:textId="1AC61B54" w:rsidR="004628E9" w:rsidRDefault="004628E9" w:rsidP="00C420C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Authors at TSMC</w:t>
      </w:r>
      <w:r w:rsidRPr="005B752F">
        <w:rPr>
          <w:rFonts w:asciiTheme="minorHAnsi" w:hAnsiTheme="minorHAnsi" w:cstheme="minorHAnsi"/>
          <w:sz w:val="22"/>
          <w:szCs w:val="22"/>
        </w:rPr>
        <w:t xml:space="preserve"> presents a die-to-die link </w:t>
      </w:r>
      <w:r>
        <w:rPr>
          <w:rFonts w:asciiTheme="minorHAnsi" w:hAnsiTheme="minorHAnsi" w:cstheme="minorHAnsi"/>
          <w:sz w:val="22"/>
          <w:szCs w:val="22"/>
        </w:rPr>
        <w:t xml:space="preserve">for heterogeneous integration </w:t>
      </w:r>
      <w:r w:rsidR="00F76C7D">
        <w:rPr>
          <w:rFonts w:asciiTheme="minorHAnsi" w:hAnsiTheme="minorHAnsi" w:cstheme="minorHAnsi"/>
          <w:sz w:val="22"/>
          <w:szCs w:val="22"/>
        </w:rPr>
        <w:t>of</w:t>
      </w:r>
      <w:r w:rsidRPr="005B752F">
        <w:rPr>
          <w:rFonts w:asciiTheme="minorHAnsi" w:hAnsiTheme="minorHAnsi" w:cstheme="minorHAnsi"/>
          <w:sz w:val="22"/>
          <w:szCs w:val="22"/>
        </w:rPr>
        <w:t xml:space="preserve"> </w:t>
      </w:r>
      <w:r w:rsidR="00F76C7D">
        <w:rPr>
          <w:rFonts w:asciiTheme="minorHAnsi" w:hAnsiTheme="minorHAnsi" w:cstheme="minorHAnsi"/>
          <w:sz w:val="22"/>
          <w:szCs w:val="22"/>
        </w:rPr>
        <w:t xml:space="preserve">a 5-nm </w:t>
      </w:r>
      <w:r w:rsidRPr="005B752F">
        <w:rPr>
          <w:rFonts w:asciiTheme="minorHAnsi" w:hAnsiTheme="minorHAnsi" w:cstheme="minorHAnsi"/>
          <w:sz w:val="22"/>
          <w:szCs w:val="22"/>
        </w:rPr>
        <w:t xml:space="preserve">compute die </w:t>
      </w:r>
      <w:r w:rsidR="00F76C7D">
        <w:rPr>
          <w:rFonts w:asciiTheme="minorHAnsi" w:hAnsiTheme="minorHAnsi" w:cstheme="minorHAnsi"/>
          <w:sz w:val="22"/>
          <w:szCs w:val="22"/>
        </w:rPr>
        <w:t>and</w:t>
      </w:r>
      <w:r w:rsidRPr="005B752F">
        <w:rPr>
          <w:rFonts w:asciiTheme="minorHAnsi" w:hAnsiTheme="minorHAnsi" w:cstheme="minorHAnsi"/>
          <w:sz w:val="22"/>
          <w:szCs w:val="22"/>
        </w:rPr>
        <w:t xml:space="preserve"> </w:t>
      </w:r>
      <w:r w:rsidR="00F76C7D">
        <w:rPr>
          <w:rFonts w:asciiTheme="minorHAnsi" w:hAnsiTheme="minorHAnsi" w:cstheme="minorHAnsi"/>
          <w:sz w:val="22"/>
          <w:szCs w:val="22"/>
        </w:rPr>
        <w:t xml:space="preserve">6-nm </w:t>
      </w:r>
      <w:r w:rsidRPr="005B752F">
        <w:rPr>
          <w:rFonts w:asciiTheme="minorHAnsi" w:hAnsiTheme="minorHAnsi" w:cstheme="minorHAnsi"/>
          <w:sz w:val="22"/>
          <w:szCs w:val="22"/>
        </w:rPr>
        <w:t>SRAM die with face-to-back 3D stacking at a 9</w:t>
      </w:r>
      <w:r w:rsidR="00F76C7D">
        <w:rPr>
          <w:rFonts w:asciiTheme="minorHAnsi" w:hAnsiTheme="minorHAnsi" w:cstheme="minorHAnsi"/>
          <w:sz w:val="22"/>
          <w:szCs w:val="22"/>
        </w:rPr>
        <w:t>-</w:t>
      </w:r>
      <w:r w:rsidRPr="005B752F">
        <w:rPr>
          <w:rFonts w:asciiTheme="minorHAnsi" w:eastAsia="PMingLiU" w:hAnsiTheme="minorHAnsi" w:cstheme="minorHAnsi" w:hint="eastAsia"/>
          <w:sz w:val="22"/>
          <w:szCs w:val="22"/>
        </w:rPr>
        <w:t>μ</w:t>
      </w:r>
      <w:r w:rsidRPr="005B752F">
        <w:rPr>
          <w:rFonts w:asciiTheme="minorHAnsi" w:hAnsiTheme="minorHAnsi" w:cstheme="minorHAnsi"/>
          <w:sz w:val="22"/>
          <w:szCs w:val="22"/>
        </w:rPr>
        <w:t xml:space="preserve">m bond pitch. </w:t>
      </w:r>
      <w:r w:rsidR="00F76C7D">
        <w:rPr>
          <w:rFonts w:asciiTheme="minorHAnsi" w:hAnsiTheme="minorHAnsi" w:cstheme="minorHAnsi"/>
          <w:sz w:val="22"/>
          <w:szCs w:val="22"/>
        </w:rPr>
        <w:t>The work demonstrates m</w:t>
      </w:r>
      <w:r w:rsidRPr="005B752F">
        <w:rPr>
          <w:rFonts w:asciiTheme="minorHAnsi" w:hAnsiTheme="minorHAnsi" w:cstheme="minorHAnsi"/>
          <w:sz w:val="22"/>
          <w:szCs w:val="22"/>
        </w:rPr>
        <w:t>odular design that supports full scalability</w:t>
      </w:r>
      <w:r w:rsidR="00F76C7D">
        <w:rPr>
          <w:rFonts w:asciiTheme="minorHAnsi" w:hAnsiTheme="minorHAnsi" w:cstheme="minorHAnsi"/>
          <w:sz w:val="22"/>
          <w:szCs w:val="22"/>
        </w:rPr>
        <w:t xml:space="preserve"> and</w:t>
      </w:r>
      <w:r w:rsidRPr="005B752F">
        <w:rPr>
          <w:rFonts w:asciiTheme="minorHAnsi" w:hAnsiTheme="minorHAnsi" w:cstheme="minorHAnsi"/>
          <w:sz w:val="22"/>
          <w:szCs w:val="22"/>
        </w:rPr>
        <w:t xml:space="preserve"> achiev</w:t>
      </w:r>
      <w:r w:rsidR="00F76C7D">
        <w:rPr>
          <w:rFonts w:asciiTheme="minorHAnsi" w:hAnsiTheme="minorHAnsi" w:cstheme="minorHAnsi"/>
          <w:sz w:val="22"/>
          <w:szCs w:val="22"/>
        </w:rPr>
        <w:t>es</w:t>
      </w:r>
      <w:r w:rsidRPr="005B752F">
        <w:rPr>
          <w:rFonts w:asciiTheme="minorHAnsi" w:hAnsiTheme="minorHAnsi" w:cstheme="minorHAnsi"/>
          <w:sz w:val="22"/>
          <w:szCs w:val="22"/>
        </w:rPr>
        <w:t xml:space="preserve"> 10.24</w:t>
      </w:r>
      <w:r w:rsidR="00F76C7D">
        <w:rPr>
          <w:rFonts w:asciiTheme="minorHAnsi" w:hAnsiTheme="minorHAnsi" w:cstheme="minorHAnsi"/>
          <w:sz w:val="22"/>
          <w:szCs w:val="22"/>
        </w:rPr>
        <w:t>-</w:t>
      </w:r>
      <w:r w:rsidRPr="005B752F">
        <w:rPr>
          <w:rFonts w:asciiTheme="minorHAnsi" w:hAnsiTheme="minorHAnsi" w:cstheme="minorHAnsi"/>
          <w:sz w:val="22"/>
          <w:szCs w:val="22"/>
        </w:rPr>
        <w:t>Tb/s aggregate bandwidth for 320 T</w:t>
      </w:r>
      <w:r w:rsidR="00F76C7D">
        <w:rPr>
          <w:rFonts w:asciiTheme="minorHAnsi" w:hAnsiTheme="minorHAnsi" w:cstheme="minorHAnsi"/>
          <w:sz w:val="22"/>
          <w:szCs w:val="22"/>
        </w:rPr>
        <w:t>X</w:t>
      </w:r>
      <w:r w:rsidRPr="005B752F">
        <w:rPr>
          <w:rFonts w:asciiTheme="minorHAnsi" w:hAnsiTheme="minorHAnsi" w:cstheme="minorHAnsi"/>
          <w:sz w:val="22"/>
          <w:szCs w:val="22"/>
        </w:rPr>
        <w:t xml:space="preserve"> lanes and 320 R</w:t>
      </w:r>
      <w:r w:rsidR="00F76C7D">
        <w:rPr>
          <w:rFonts w:asciiTheme="minorHAnsi" w:hAnsiTheme="minorHAnsi" w:cstheme="minorHAnsi"/>
          <w:sz w:val="22"/>
          <w:szCs w:val="22"/>
        </w:rPr>
        <w:t>X</w:t>
      </w:r>
      <w:r w:rsidRPr="005B752F">
        <w:rPr>
          <w:rFonts w:asciiTheme="minorHAnsi" w:hAnsiTheme="minorHAnsi" w:cstheme="minorHAnsi"/>
          <w:sz w:val="22"/>
          <w:szCs w:val="22"/>
        </w:rPr>
        <w:t xml:space="preserve"> lanes, at a PAM-4 16Gb/s per lane data </w:t>
      </w:r>
      <w:r w:rsidRPr="005B752F">
        <w:rPr>
          <w:rFonts w:asciiTheme="minorHAnsi" w:hAnsiTheme="minorHAnsi" w:cstheme="minorHAnsi"/>
          <w:sz w:val="22"/>
          <w:szCs w:val="22"/>
        </w:rPr>
        <w:lastRenderedPageBreak/>
        <w:t xml:space="preserve">rate. Each data cluster </w:t>
      </w:r>
      <w:r w:rsidR="00F76C7D">
        <w:rPr>
          <w:rFonts w:asciiTheme="minorHAnsi" w:hAnsiTheme="minorHAnsi" w:cstheme="minorHAnsi"/>
          <w:sz w:val="22"/>
          <w:szCs w:val="22"/>
        </w:rPr>
        <w:t>module comprises</w:t>
      </w:r>
      <w:r w:rsidRPr="005B752F">
        <w:rPr>
          <w:rFonts w:asciiTheme="minorHAnsi" w:hAnsiTheme="minorHAnsi" w:cstheme="minorHAnsi"/>
          <w:sz w:val="22"/>
          <w:szCs w:val="22"/>
        </w:rPr>
        <w:t xml:space="preserve"> 80 T</w:t>
      </w:r>
      <w:r w:rsidR="00F76C7D">
        <w:rPr>
          <w:rFonts w:asciiTheme="minorHAnsi" w:hAnsiTheme="minorHAnsi" w:cstheme="minorHAnsi"/>
          <w:sz w:val="22"/>
          <w:szCs w:val="22"/>
        </w:rPr>
        <w:t>X</w:t>
      </w:r>
      <w:r w:rsidRPr="005B752F">
        <w:rPr>
          <w:rFonts w:asciiTheme="minorHAnsi" w:hAnsiTheme="minorHAnsi" w:cstheme="minorHAnsi"/>
          <w:sz w:val="22"/>
          <w:szCs w:val="22"/>
        </w:rPr>
        <w:t>/R</w:t>
      </w:r>
      <w:r w:rsidR="00F76C7D">
        <w:rPr>
          <w:rFonts w:asciiTheme="minorHAnsi" w:hAnsiTheme="minorHAnsi" w:cstheme="minorHAnsi"/>
          <w:sz w:val="22"/>
          <w:szCs w:val="22"/>
        </w:rPr>
        <w:t>X</w:t>
      </w:r>
      <w:r w:rsidRPr="005B752F">
        <w:rPr>
          <w:rFonts w:asciiTheme="minorHAnsi" w:hAnsiTheme="minorHAnsi" w:cstheme="minorHAnsi"/>
          <w:sz w:val="22"/>
          <w:szCs w:val="22"/>
        </w:rPr>
        <w:t xml:space="preserve"> lanes in a 378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1ACF" w:rsidRPr="007650F7">
        <w:rPr>
          <w:rFonts w:asciiTheme="minorHAnsi" w:eastAsia="PMingLiU" w:hAnsiTheme="minorHAnsi" w:cstheme="minorHAnsi"/>
          <w:sz w:val="22"/>
          <w:szCs w:val="22"/>
        </w:rPr>
        <w:t>μ</w:t>
      </w:r>
      <w:r w:rsidRPr="005B752F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r w:rsidR="00F76C7D" w:rsidRPr="007650F7">
        <w:rPr>
          <w:rFonts w:asciiTheme="minorHAnsi" w:hAnsiTheme="minorHAnsi" w:cstheme="minorHAnsi"/>
          <w:sz w:val="22"/>
          <w:szCs w:val="22"/>
        </w:rPr>
        <w:t>×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r w:rsidRPr="005B752F">
        <w:rPr>
          <w:rFonts w:asciiTheme="minorHAnsi" w:hAnsiTheme="minorHAnsi" w:cstheme="minorHAnsi"/>
          <w:sz w:val="22"/>
          <w:szCs w:val="22"/>
        </w:rPr>
        <w:t>378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1ACF" w:rsidRPr="007650F7">
        <w:rPr>
          <w:rFonts w:asciiTheme="minorHAnsi" w:eastAsia="PMingLiU" w:hAnsiTheme="minorHAnsi" w:cstheme="minorHAnsi"/>
          <w:sz w:val="22"/>
          <w:szCs w:val="22"/>
        </w:rPr>
        <w:t>μ</w:t>
      </w:r>
      <w:r w:rsidRPr="005B752F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5B752F">
        <w:rPr>
          <w:rFonts w:asciiTheme="minorHAnsi" w:hAnsiTheme="minorHAnsi" w:cstheme="minorHAnsi"/>
          <w:sz w:val="22"/>
          <w:szCs w:val="22"/>
        </w:rPr>
        <w:t xml:space="preserve"> footprint</w:t>
      </w:r>
      <w:r w:rsidR="00F76C7D">
        <w:rPr>
          <w:rFonts w:asciiTheme="minorHAnsi" w:hAnsiTheme="minorHAnsi" w:cstheme="minorHAnsi"/>
          <w:sz w:val="22"/>
          <w:szCs w:val="22"/>
        </w:rPr>
        <w:t xml:space="preserve"> to offer</w:t>
      </w:r>
      <w:r w:rsidRPr="005B752F">
        <w:rPr>
          <w:rFonts w:asciiTheme="minorHAnsi" w:hAnsiTheme="minorHAnsi" w:cstheme="minorHAnsi"/>
          <w:sz w:val="22"/>
          <w:szCs w:val="22"/>
        </w:rPr>
        <w:t xml:space="preserve"> a bandwidth density of 17.9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r w:rsidRPr="005B752F">
        <w:rPr>
          <w:rFonts w:asciiTheme="minorHAnsi" w:hAnsiTheme="minorHAnsi" w:cstheme="minorHAnsi"/>
          <w:sz w:val="22"/>
          <w:szCs w:val="22"/>
        </w:rPr>
        <w:t>Tb/s/m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5B752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B752F">
        <w:rPr>
          <w:rFonts w:asciiTheme="minorHAnsi" w:hAnsiTheme="minorHAnsi" w:cstheme="minorHAnsi"/>
          <w:position w:val="6"/>
          <w:sz w:val="22"/>
          <w:szCs w:val="22"/>
        </w:rPr>
        <w:t xml:space="preserve"> </w:t>
      </w:r>
      <w:r w:rsidRPr="005B752F">
        <w:rPr>
          <w:rFonts w:asciiTheme="minorHAnsi" w:hAnsiTheme="minorHAnsi" w:cstheme="minorHAnsi"/>
          <w:sz w:val="22"/>
          <w:szCs w:val="22"/>
        </w:rPr>
        <w:t>and an energy efficiency of 0.296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752F">
        <w:rPr>
          <w:rFonts w:asciiTheme="minorHAnsi" w:hAnsiTheme="minorHAnsi" w:cstheme="minorHAnsi"/>
          <w:sz w:val="22"/>
          <w:szCs w:val="22"/>
        </w:rPr>
        <w:t>pJ</w:t>
      </w:r>
      <w:proofErr w:type="spellEnd"/>
      <w:r w:rsidRPr="005B752F">
        <w:rPr>
          <w:rFonts w:asciiTheme="minorHAnsi" w:hAnsiTheme="minorHAnsi" w:cstheme="minorHAnsi"/>
          <w:sz w:val="22"/>
          <w:szCs w:val="22"/>
        </w:rPr>
        <w:t>/bit per link.</w:t>
      </w:r>
    </w:p>
    <w:p w14:paraId="34F1C4D9" w14:textId="77777777" w:rsidR="00F76C7D" w:rsidRDefault="00F76C7D" w:rsidP="00C420CC">
      <w:pPr>
        <w:jc w:val="both"/>
      </w:pPr>
    </w:p>
    <w:p w14:paraId="1756E127" w14:textId="77777777" w:rsidR="003312E7" w:rsidRDefault="003312E7" w:rsidP="00C420CC">
      <w:pPr>
        <w:pStyle w:val="Heading3"/>
      </w:pPr>
      <w:r>
        <w:rPr>
          <w:b/>
          <w:bCs/>
          <w:sz w:val="24"/>
          <w:szCs w:val="24"/>
        </w:rPr>
        <w:t>Wireline and Optical Transceivers, Optical Interconnect and Processors</w:t>
      </w:r>
    </w:p>
    <w:p w14:paraId="7B08487E" w14:textId="0C89EB24" w:rsidR="003312E7" w:rsidRDefault="003312E7" w:rsidP="00C420CC">
      <w:pPr>
        <w:pStyle w:val="Heading3"/>
        <w:spacing w:before="0" w:after="0"/>
        <w:rPr>
          <w:i/>
          <w:iCs/>
          <w:sz w:val="22"/>
          <w:szCs w:val="22"/>
        </w:rPr>
      </w:pPr>
      <w:r w:rsidRPr="007650F7">
        <w:rPr>
          <w:i/>
          <w:iCs/>
          <w:sz w:val="22"/>
          <w:szCs w:val="22"/>
        </w:rPr>
        <w:t>“</w:t>
      </w:r>
      <w:r w:rsidRPr="00312DEB">
        <w:rPr>
          <w:i/>
          <w:iCs/>
          <w:sz w:val="22"/>
          <w:szCs w:val="22"/>
        </w:rPr>
        <w:t>A 4x50</w:t>
      </w:r>
      <w:r w:rsidR="00BC1ACF">
        <w:rPr>
          <w:i/>
          <w:iCs/>
          <w:sz w:val="22"/>
          <w:szCs w:val="22"/>
        </w:rPr>
        <w:t>-</w:t>
      </w:r>
      <w:r w:rsidRPr="00312DEB">
        <w:rPr>
          <w:i/>
          <w:iCs/>
          <w:sz w:val="22"/>
          <w:szCs w:val="22"/>
        </w:rPr>
        <w:t>Gb/s NRZ 1.5</w:t>
      </w:r>
      <w:r w:rsidR="00BC1ACF">
        <w:rPr>
          <w:i/>
          <w:iCs/>
          <w:sz w:val="22"/>
          <w:szCs w:val="22"/>
        </w:rPr>
        <w:t>-</w:t>
      </w:r>
      <w:r w:rsidRPr="00312DEB">
        <w:rPr>
          <w:i/>
          <w:iCs/>
          <w:sz w:val="22"/>
          <w:szCs w:val="22"/>
        </w:rPr>
        <w:t>pJ/b Co-Packaged and Fiber-Terminated 4-Channel Optical RX</w:t>
      </w:r>
      <w:r w:rsidRPr="007650F7">
        <w:rPr>
          <w:i/>
          <w:iCs/>
          <w:sz w:val="22"/>
          <w:szCs w:val="22"/>
        </w:rPr>
        <w:t xml:space="preserve">” – </w:t>
      </w:r>
      <w:r>
        <w:rPr>
          <w:i/>
          <w:iCs/>
          <w:sz w:val="22"/>
          <w:szCs w:val="22"/>
        </w:rPr>
        <w:t>Intel Corporation</w:t>
      </w:r>
      <w:r w:rsidR="000C6BD8">
        <w:rPr>
          <w:i/>
          <w:iCs/>
          <w:sz w:val="22"/>
          <w:szCs w:val="22"/>
        </w:rPr>
        <w:t xml:space="preserve"> (Paper C14.4)</w:t>
      </w:r>
    </w:p>
    <w:p w14:paraId="3C45EAEE" w14:textId="7CCD6DF4" w:rsidR="00000844" w:rsidRDefault="00000844" w:rsidP="00C420CC"/>
    <w:p w14:paraId="5B5ED27C" w14:textId="41A8A1CC" w:rsidR="0002647A" w:rsidRDefault="0002647A" w:rsidP="00C420C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B752F">
        <w:rPr>
          <w:rFonts w:asciiTheme="minorHAnsi" w:hAnsiTheme="minorHAnsi" w:cstheme="minorHAnsi"/>
          <w:sz w:val="22"/>
          <w:szCs w:val="22"/>
        </w:rPr>
        <w:t xml:space="preserve">Researchers at Intel present a 4-channel co-packaged optical </w:t>
      </w:r>
      <w:r w:rsidR="006D7764">
        <w:rPr>
          <w:rFonts w:asciiTheme="minorHAnsi" w:hAnsiTheme="minorHAnsi" w:cstheme="minorHAnsi"/>
          <w:sz w:val="22"/>
          <w:szCs w:val="22"/>
        </w:rPr>
        <w:t>receiver</w:t>
      </w:r>
      <w:r w:rsidRPr="005B752F">
        <w:rPr>
          <w:rFonts w:asciiTheme="minorHAnsi" w:hAnsiTheme="minorHAnsi" w:cstheme="minorHAnsi"/>
          <w:sz w:val="22"/>
          <w:szCs w:val="22"/>
        </w:rPr>
        <w:t xml:space="preserve"> </w:t>
      </w:r>
      <w:r w:rsidR="006D7764">
        <w:rPr>
          <w:rFonts w:asciiTheme="minorHAnsi" w:hAnsiTheme="minorHAnsi" w:cstheme="minorHAnsi"/>
          <w:sz w:val="22"/>
          <w:szCs w:val="22"/>
        </w:rPr>
        <w:t>(RX) aimed at big data applications. The RX</w:t>
      </w:r>
      <w:r w:rsidRPr="005B752F">
        <w:rPr>
          <w:rFonts w:asciiTheme="minorHAnsi" w:hAnsiTheme="minorHAnsi" w:cstheme="minorHAnsi"/>
          <w:sz w:val="22"/>
          <w:szCs w:val="22"/>
        </w:rPr>
        <w:t xml:space="preserve"> integrates a photodiode array, fiber termination</w:t>
      </w:r>
      <w:r w:rsidR="006D7764">
        <w:rPr>
          <w:rFonts w:asciiTheme="minorHAnsi" w:hAnsiTheme="minorHAnsi" w:cstheme="minorHAnsi"/>
          <w:sz w:val="22"/>
          <w:szCs w:val="22"/>
        </w:rPr>
        <w:t>,</w:t>
      </w:r>
      <w:r w:rsidRPr="005B752F">
        <w:rPr>
          <w:rFonts w:asciiTheme="minorHAnsi" w:hAnsiTheme="minorHAnsi" w:cstheme="minorHAnsi"/>
          <w:sz w:val="22"/>
          <w:szCs w:val="22"/>
        </w:rPr>
        <w:t xml:space="preserve"> and a transimpedance amplifier front end (TIA-FE) IC on the same package as an RX data-path IC. To achieve high sensitivity, the TIA-FE employs bandwidth extension and in-band group delay compensation techniques that are co-optimized with a </w:t>
      </w:r>
      <w:r w:rsidR="006D7764">
        <w:rPr>
          <w:rFonts w:asciiTheme="minorHAnsi" w:hAnsiTheme="minorHAnsi" w:cstheme="minorHAnsi"/>
          <w:sz w:val="22"/>
          <w:szCs w:val="22"/>
        </w:rPr>
        <w:t>quarter</w:t>
      </w:r>
      <w:r w:rsidRPr="005B752F">
        <w:rPr>
          <w:rFonts w:asciiTheme="minorHAnsi" w:hAnsiTheme="minorHAnsi" w:cstheme="minorHAnsi"/>
          <w:sz w:val="22"/>
          <w:szCs w:val="22"/>
        </w:rPr>
        <w:t xml:space="preserve">-rate 2-tap feed-forward equalizer in the RX data-path. </w:t>
      </w:r>
      <w:r w:rsidR="006D7764">
        <w:rPr>
          <w:rFonts w:asciiTheme="minorHAnsi" w:hAnsiTheme="minorHAnsi" w:cstheme="minorHAnsi"/>
          <w:sz w:val="22"/>
          <w:szCs w:val="22"/>
        </w:rPr>
        <w:t>The front end also features a</w:t>
      </w:r>
      <w:r w:rsidRPr="005B75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752F">
        <w:rPr>
          <w:rFonts w:asciiTheme="minorHAnsi" w:hAnsiTheme="minorHAnsi" w:cstheme="minorHAnsi"/>
          <w:sz w:val="22"/>
          <w:szCs w:val="22"/>
        </w:rPr>
        <w:t>StrongArm</w:t>
      </w:r>
      <w:proofErr w:type="spellEnd"/>
      <w:r w:rsidRPr="005B752F">
        <w:rPr>
          <w:rFonts w:asciiTheme="minorHAnsi" w:hAnsiTheme="minorHAnsi" w:cstheme="minorHAnsi"/>
          <w:sz w:val="22"/>
          <w:szCs w:val="22"/>
        </w:rPr>
        <w:t xml:space="preserve"> latch that improves noise variance by 3.5</w:t>
      </w:r>
      <w:r w:rsidR="006D7764">
        <w:rPr>
          <w:rFonts w:asciiTheme="minorHAnsi" w:hAnsiTheme="minorHAnsi" w:cstheme="minorHAnsi"/>
          <w:sz w:val="22"/>
          <w:szCs w:val="22"/>
        </w:rPr>
        <w:t>X</w:t>
      </w:r>
      <w:r w:rsidRPr="005B752F">
        <w:rPr>
          <w:rFonts w:asciiTheme="minorHAnsi" w:hAnsiTheme="minorHAnsi" w:cstheme="minorHAnsi"/>
          <w:sz w:val="22"/>
          <w:szCs w:val="22"/>
        </w:rPr>
        <w:t xml:space="preserve"> for iso-powe</w:t>
      </w:r>
      <w:r w:rsidR="006D7764">
        <w:rPr>
          <w:rFonts w:asciiTheme="minorHAnsi" w:hAnsiTheme="minorHAnsi" w:cstheme="minorHAnsi"/>
          <w:sz w:val="22"/>
          <w:szCs w:val="22"/>
        </w:rPr>
        <w:t>r</w:t>
      </w:r>
      <w:r w:rsidRPr="005B752F">
        <w:rPr>
          <w:rFonts w:asciiTheme="minorHAnsi" w:hAnsiTheme="minorHAnsi" w:cstheme="minorHAnsi"/>
          <w:sz w:val="22"/>
          <w:szCs w:val="22"/>
        </w:rPr>
        <w:t xml:space="preserve">. </w:t>
      </w:r>
      <w:r w:rsidR="006D7764">
        <w:rPr>
          <w:rFonts w:asciiTheme="minorHAnsi" w:hAnsiTheme="minorHAnsi" w:cstheme="minorHAnsi"/>
          <w:sz w:val="22"/>
          <w:szCs w:val="22"/>
        </w:rPr>
        <w:t>The optical RX is m</w:t>
      </w:r>
      <w:r w:rsidRPr="005B752F">
        <w:rPr>
          <w:rFonts w:asciiTheme="minorHAnsi" w:hAnsiTheme="minorHAnsi" w:cstheme="minorHAnsi"/>
          <w:sz w:val="22"/>
          <w:szCs w:val="22"/>
        </w:rPr>
        <w:t xml:space="preserve">odulated by its VCSEL-based optical </w:t>
      </w:r>
      <w:r w:rsidR="006D7764">
        <w:rPr>
          <w:rFonts w:asciiTheme="minorHAnsi" w:hAnsiTheme="minorHAnsi" w:cstheme="minorHAnsi"/>
          <w:sz w:val="22"/>
          <w:szCs w:val="22"/>
        </w:rPr>
        <w:t>transmitter</w:t>
      </w:r>
      <w:r w:rsidRPr="005B752F">
        <w:rPr>
          <w:rFonts w:asciiTheme="minorHAnsi" w:hAnsiTheme="minorHAnsi" w:cstheme="minorHAnsi"/>
          <w:sz w:val="22"/>
          <w:szCs w:val="22"/>
        </w:rPr>
        <w:t xml:space="preserve"> counterpart</w:t>
      </w:r>
      <w:r w:rsidR="006D7764">
        <w:rPr>
          <w:rFonts w:asciiTheme="minorHAnsi" w:hAnsiTheme="minorHAnsi" w:cstheme="minorHAnsi"/>
          <w:sz w:val="22"/>
          <w:szCs w:val="22"/>
        </w:rPr>
        <w:t xml:space="preserve"> and</w:t>
      </w:r>
      <w:r w:rsidRPr="005B752F">
        <w:rPr>
          <w:rFonts w:asciiTheme="minorHAnsi" w:hAnsiTheme="minorHAnsi" w:cstheme="minorHAnsi"/>
          <w:sz w:val="22"/>
          <w:szCs w:val="22"/>
        </w:rPr>
        <w:t xml:space="preserve"> demonstrates 4</w:t>
      </w:r>
      <w:r w:rsidR="006D7764" w:rsidRPr="007650F7">
        <w:rPr>
          <w:rFonts w:asciiTheme="minorHAnsi" w:hAnsiTheme="minorHAnsi" w:cstheme="minorHAnsi"/>
          <w:sz w:val="22"/>
          <w:szCs w:val="22"/>
        </w:rPr>
        <w:t>×</w:t>
      </w:r>
      <w:r w:rsidRPr="005B752F">
        <w:rPr>
          <w:rFonts w:asciiTheme="minorHAnsi" w:hAnsiTheme="minorHAnsi" w:cstheme="minorHAnsi"/>
          <w:sz w:val="22"/>
          <w:szCs w:val="22"/>
        </w:rPr>
        <w:t>50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r w:rsidRPr="005B752F">
        <w:rPr>
          <w:rFonts w:asciiTheme="minorHAnsi" w:hAnsiTheme="minorHAnsi" w:cstheme="minorHAnsi"/>
          <w:sz w:val="22"/>
          <w:szCs w:val="22"/>
        </w:rPr>
        <w:t>Gb/s NRZ at 1.5</w:t>
      </w:r>
      <w:r w:rsidR="00BC1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752F">
        <w:rPr>
          <w:rFonts w:asciiTheme="minorHAnsi" w:hAnsiTheme="minorHAnsi" w:cstheme="minorHAnsi"/>
          <w:sz w:val="22"/>
          <w:szCs w:val="22"/>
        </w:rPr>
        <w:t>pJ</w:t>
      </w:r>
      <w:proofErr w:type="spellEnd"/>
      <w:r w:rsidRPr="005B752F">
        <w:rPr>
          <w:rFonts w:asciiTheme="minorHAnsi" w:hAnsiTheme="minorHAnsi" w:cstheme="minorHAnsi"/>
          <w:sz w:val="22"/>
          <w:szCs w:val="22"/>
        </w:rPr>
        <w:t>/b with BER</w:t>
      </w:r>
      <w:r w:rsidR="006D7764">
        <w:rPr>
          <w:rFonts w:asciiTheme="minorHAnsi" w:hAnsiTheme="minorHAnsi" w:cstheme="minorHAnsi"/>
          <w:sz w:val="22"/>
          <w:szCs w:val="22"/>
        </w:rPr>
        <w:t xml:space="preserve"> below </w:t>
      </w:r>
      <w:r w:rsidRPr="005B752F">
        <w:rPr>
          <w:rFonts w:asciiTheme="minorHAnsi" w:hAnsiTheme="minorHAnsi" w:cstheme="minorHAnsi"/>
          <w:sz w:val="22"/>
          <w:szCs w:val="22"/>
        </w:rPr>
        <w:t>10</w:t>
      </w:r>
      <w:r w:rsidR="006D7764" w:rsidRPr="005B752F">
        <w:rPr>
          <w:rFonts w:asciiTheme="minorHAnsi" w:hAnsiTheme="minorHAnsi" w:cstheme="minorHAnsi"/>
          <w:sz w:val="22"/>
          <w:szCs w:val="22"/>
          <w:vertAlign w:val="superscript"/>
        </w:rPr>
        <w:t>-12</w:t>
      </w:r>
      <w:r w:rsidRPr="005B752F">
        <w:rPr>
          <w:rFonts w:asciiTheme="minorHAnsi" w:hAnsiTheme="minorHAnsi" w:cstheme="minorHAnsi"/>
          <w:position w:val="6"/>
          <w:sz w:val="22"/>
          <w:szCs w:val="22"/>
        </w:rPr>
        <w:t xml:space="preserve"> </w:t>
      </w:r>
      <w:r w:rsidRPr="005B752F">
        <w:rPr>
          <w:rFonts w:asciiTheme="minorHAnsi" w:hAnsiTheme="minorHAnsi" w:cstheme="minorHAnsi"/>
          <w:sz w:val="22"/>
          <w:szCs w:val="22"/>
        </w:rPr>
        <w:t xml:space="preserve">and sensitivity of </w:t>
      </w:r>
      <w:r w:rsidR="006D7764">
        <w:rPr>
          <w:rFonts w:asciiTheme="minorHAnsi" w:hAnsiTheme="minorHAnsi" w:cstheme="minorHAnsi"/>
          <w:sz w:val="22"/>
          <w:szCs w:val="22"/>
        </w:rPr>
        <w:t>–</w:t>
      </w:r>
      <w:r w:rsidRPr="005B752F">
        <w:rPr>
          <w:rFonts w:asciiTheme="minorHAnsi" w:hAnsiTheme="minorHAnsi" w:cstheme="minorHAnsi"/>
          <w:sz w:val="22"/>
          <w:szCs w:val="22"/>
        </w:rPr>
        <w:t>6</w:t>
      </w:r>
      <w:r w:rsidR="006D7764">
        <w:rPr>
          <w:rFonts w:asciiTheme="minorHAnsi" w:hAnsiTheme="minorHAnsi" w:cstheme="minorHAnsi"/>
          <w:sz w:val="22"/>
          <w:szCs w:val="22"/>
        </w:rPr>
        <w:t xml:space="preserve"> </w:t>
      </w:r>
      <w:r w:rsidRPr="005B752F">
        <w:rPr>
          <w:rFonts w:asciiTheme="minorHAnsi" w:hAnsiTheme="minorHAnsi" w:cstheme="minorHAnsi"/>
          <w:sz w:val="22"/>
          <w:szCs w:val="22"/>
        </w:rPr>
        <w:t>dBm.</w:t>
      </w:r>
    </w:p>
    <w:p w14:paraId="3187E31E" w14:textId="77777777" w:rsidR="007E39CB" w:rsidRDefault="007E39CB" w:rsidP="005B752F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189698FC" w14:textId="60FB93C6" w:rsidR="00000844" w:rsidRPr="005B752F" w:rsidRDefault="00000844" w:rsidP="00C420CC">
      <w:pPr>
        <w:pStyle w:val="NormalWeb"/>
        <w:shd w:val="clear" w:color="auto" w:fill="FFFFFF"/>
        <w:spacing w:before="160" w:beforeAutospacing="0" w:after="80" w:afterAutospacing="0" w:line="276" w:lineRule="auto"/>
        <w:rPr>
          <w:rFonts w:cstheme="minorHAnsi"/>
          <w:b/>
          <w:bCs/>
        </w:rPr>
      </w:pPr>
      <w:r w:rsidRPr="005B752F">
        <w:rPr>
          <w:rFonts w:asciiTheme="minorHAnsi" w:hAnsiTheme="minorHAnsi" w:cstheme="minorHAnsi"/>
          <w:b/>
          <w:bCs/>
        </w:rPr>
        <w:t xml:space="preserve">Wireless and RF </w:t>
      </w:r>
      <w:r>
        <w:rPr>
          <w:rFonts w:asciiTheme="minorHAnsi" w:hAnsiTheme="minorHAnsi" w:cstheme="minorHAnsi"/>
          <w:b/>
          <w:bCs/>
        </w:rPr>
        <w:t>D</w:t>
      </w:r>
      <w:r w:rsidRPr="005B752F">
        <w:rPr>
          <w:rFonts w:asciiTheme="minorHAnsi" w:hAnsiTheme="minorHAnsi" w:cstheme="minorHAnsi"/>
          <w:b/>
          <w:bCs/>
        </w:rPr>
        <w:t xml:space="preserve">evices </w:t>
      </w:r>
      <w:r>
        <w:rPr>
          <w:rFonts w:asciiTheme="minorHAnsi" w:hAnsiTheme="minorHAnsi" w:cstheme="minorHAnsi"/>
          <w:b/>
          <w:bCs/>
        </w:rPr>
        <w:t>C</w:t>
      </w:r>
      <w:r w:rsidRPr="005B752F">
        <w:rPr>
          <w:rFonts w:asciiTheme="minorHAnsi" w:hAnsiTheme="minorHAnsi" w:cstheme="minorHAnsi"/>
          <w:b/>
          <w:bCs/>
        </w:rPr>
        <w:t xml:space="preserve">ircuits and </w:t>
      </w:r>
      <w:r>
        <w:rPr>
          <w:rFonts w:asciiTheme="minorHAnsi" w:hAnsiTheme="minorHAnsi" w:cstheme="minorHAnsi"/>
          <w:b/>
          <w:bCs/>
        </w:rPr>
        <w:t>S</w:t>
      </w:r>
      <w:r w:rsidRPr="005B752F">
        <w:rPr>
          <w:rFonts w:asciiTheme="minorHAnsi" w:hAnsiTheme="minorHAnsi" w:cstheme="minorHAnsi"/>
          <w:b/>
          <w:bCs/>
        </w:rPr>
        <w:t>ystems</w:t>
      </w:r>
    </w:p>
    <w:p w14:paraId="3314F255" w14:textId="1729F48F" w:rsidR="003312E7" w:rsidRDefault="00000844" w:rsidP="00C420C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B752F">
        <w:rPr>
          <w:rFonts w:asciiTheme="minorHAnsi" w:hAnsiTheme="minorHAnsi" w:cstheme="minorHAnsi"/>
          <w:i/>
          <w:iCs/>
          <w:sz w:val="22"/>
          <w:szCs w:val="22"/>
        </w:rPr>
        <w:t>“A 640-Gb/s 4</w:t>
      </w:r>
      <w:r w:rsidRPr="005B752F">
        <w:rPr>
          <w:rFonts w:asciiTheme="minorHAnsi" w:hAnsiTheme="minorHAnsi" w:cstheme="minorHAnsi" w:hint="eastAsia"/>
          <w:sz w:val="22"/>
          <w:szCs w:val="22"/>
        </w:rPr>
        <w:t>×</w:t>
      </w:r>
      <w:r w:rsidRPr="005B752F">
        <w:rPr>
          <w:rFonts w:asciiTheme="minorHAnsi" w:hAnsiTheme="minorHAnsi" w:cstheme="minorHAnsi"/>
          <w:i/>
          <w:iCs/>
          <w:sz w:val="22"/>
          <w:szCs w:val="22"/>
        </w:rPr>
        <w:t>4-MIMO D-Band CMOS Transceiver Chipset” – Tokyo Institute of Technology</w:t>
      </w:r>
      <w:r w:rsidR="00591B39">
        <w:rPr>
          <w:rFonts w:asciiTheme="minorHAnsi" w:hAnsiTheme="minorHAnsi" w:cstheme="minorHAnsi"/>
          <w:i/>
          <w:iCs/>
          <w:sz w:val="22"/>
          <w:szCs w:val="22"/>
        </w:rPr>
        <w:t xml:space="preserve"> (Paper C9.2)</w:t>
      </w:r>
    </w:p>
    <w:p w14:paraId="12C1EBFF" w14:textId="77777777" w:rsidR="003312E7" w:rsidRPr="005B752F" w:rsidRDefault="003312E7" w:rsidP="00C420C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C6A19FF" w14:textId="5D79A5D7" w:rsidR="00C7709A" w:rsidRDefault="00FD3AD3" w:rsidP="00C420C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Tokyo Institute of Technology </w:t>
      </w:r>
      <w:r w:rsidR="003312E7" w:rsidRPr="005B752F">
        <w:rPr>
          <w:rFonts w:asciiTheme="minorHAnsi" w:hAnsiTheme="minorHAnsi" w:cstheme="minorHAnsi"/>
          <w:sz w:val="22"/>
          <w:szCs w:val="22"/>
        </w:rPr>
        <w:t>presents a CMOS transceiver (TRX) chipset covering a 56</w:t>
      </w:r>
      <w:r>
        <w:rPr>
          <w:rFonts w:asciiTheme="minorHAnsi" w:hAnsiTheme="minorHAnsi" w:cstheme="minorHAnsi"/>
          <w:sz w:val="22"/>
          <w:szCs w:val="22"/>
        </w:rPr>
        <w:t>-</w:t>
      </w:r>
      <w:r w:rsidR="003312E7" w:rsidRPr="005B752F">
        <w:rPr>
          <w:rFonts w:asciiTheme="minorHAnsi" w:hAnsiTheme="minorHAnsi" w:cstheme="minorHAnsi"/>
          <w:sz w:val="22"/>
          <w:szCs w:val="22"/>
        </w:rPr>
        <w:t>GHz signal-chain bandwidth</w:t>
      </w:r>
      <w:r w:rsidR="0069501C">
        <w:rPr>
          <w:rFonts w:asciiTheme="minorHAnsi" w:hAnsiTheme="minorHAnsi" w:cstheme="minorHAnsi"/>
          <w:sz w:val="22"/>
          <w:szCs w:val="22"/>
        </w:rPr>
        <w:t xml:space="preserve"> for D-band </w:t>
      </w:r>
      <w:r w:rsidR="0069501C" w:rsidRPr="007650F7">
        <w:rPr>
          <w:rFonts w:asciiTheme="minorHAnsi" w:hAnsiTheme="minorHAnsi" w:cstheme="minorHAnsi"/>
          <w:sz w:val="22"/>
          <w:szCs w:val="22"/>
        </w:rPr>
        <w:t>(114</w:t>
      </w:r>
      <w:r w:rsidR="0069501C">
        <w:rPr>
          <w:rFonts w:asciiTheme="minorHAnsi" w:hAnsiTheme="minorHAnsi" w:cstheme="minorHAnsi"/>
          <w:sz w:val="22"/>
          <w:szCs w:val="22"/>
        </w:rPr>
        <w:t>–</w:t>
      </w:r>
      <w:r w:rsidR="0069501C" w:rsidRPr="007650F7">
        <w:rPr>
          <w:rFonts w:asciiTheme="minorHAnsi" w:hAnsiTheme="minorHAnsi" w:cstheme="minorHAnsi"/>
          <w:sz w:val="22"/>
          <w:szCs w:val="22"/>
        </w:rPr>
        <w:t>170</w:t>
      </w:r>
      <w:r w:rsidR="0069501C">
        <w:rPr>
          <w:rFonts w:asciiTheme="minorHAnsi" w:hAnsiTheme="minorHAnsi" w:cstheme="minorHAnsi"/>
          <w:sz w:val="22"/>
          <w:szCs w:val="22"/>
        </w:rPr>
        <w:t xml:space="preserve"> </w:t>
      </w:r>
      <w:r w:rsidR="0069501C" w:rsidRPr="007650F7">
        <w:rPr>
          <w:rFonts w:asciiTheme="minorHAnsi" w:hAnsiTheme="minorHAnsi" w:cstheme="minorHAnsi"/>
          <w:sz w:val="22"/>
          <w:szCs w:val="22"/>
        </w:rPr>
        <w:t>GHz)</w:t>
      </w:r>
      <w:r w:rsidR="0069501C">
        <w:rPr>
          <w:rFonts w:asciiTheme="minorHAnsi" w:hAnsiTheme="minorHAnsi" w:cstheme="minorHAnsi"/>
          <w:sz w:val="22"/>
          <w:szCs w:val="22"/>
        </w:rPr>
        <w:t xml:space="preserve"> </w:t>
      </w:r>
      <w:r w:rsidR="009056B0">
        <w:rPr>
          <w:rFonts w:asciiTheme="minorHAnsi" w:hAnsiTheme="minorHAnsi" w:cstheme="minorHAnsi"/>
          <w:sz w:val="22"/>
          <w:szCs w:val="22"/>
        </w:rPr>
        <w:t xml:space="preserve">mm-Wave </w:t>
      </w:r>
      <w:r w:rsidR="0069501C">
        <w:rPr>
          <w:rFonts w:asciiTheme="minorHAnsi" w:hAnsiTheme="minorHAnsi" w:cstheme="minorHAnsi"/>
          <w:sz w:val="22"/>
          <w:szCs w:val="22"/>
        </w:rPr>
        <w:t>application</w:t>
      </w:r>
      <w:r w:rsidR="003312E7" w:rsidRPr="005B752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The work proposes a</w:t>
      </w:r>
      <w:r w:rsidR="003312E7" w:rsidRPr="005B752F">
        <w:rPr>
          <w:rFonts w:asciiTheme="minorHAnsi" w:hAnsiTheme="minorHAnsi" w:cstheme="minorHAnsi"/>
          <w:sz w:val="22"/>
          <w:szCs w:val="22"/>
        </w:rPr>
        <w:t>n 8-way low-Q power-combined power amplifier, a 2-way low-Q power-combined low</w:t>
      </w:r>
      <w:r>
        <w:rPr>
          <w:rFonts w:asciiTheme="minorHAnsi" w:hAnsiTheme="minorHAnsi" w:cstheme="minorHAnsi"/>
          <w:sz w:val="22"/>
          <w:szCs w:val="22"/>
        </w:rPr>
        <w:t>-</w:t>
      </w:r>
      <w:r w:rsidR="003312E7" w:rsidRPr="005B752F">
        <w:rPr>
          <w:rFonts w:asciiTheme="minorHAnsi" w:hAnsiTheme="minorHAnsi" w:cstheme="minorHAnsi"/>
          <w:sz w:val="22"/>
          <w:szCs w:val="22"/>
        </w:rPr>
        <w:t xml:space="preserve">noise amplifier, wideband-impedance-transformation mixers, and common-source-based cascaded distributed amplifiers to improve bandwidth and linearity. The TRX chipset </w:t>
      </w:r>
      <w:r>
        <w:rPr>
          <w:rFonts w:asciiTheme="minorHAnsi" w:hAnsiTheme="minorHAnsi" w:cstheme="minorHAnsi"/>
          <w:sz w:val="22"/>
          <w:szCs w:val="22"/>
        </w:rPr>
        <w:t xml:space="preserve">silicon </w:t>
      </w:r>
      <w:r w:rsidR="003312E7" w:rsidRPr="005B752F">
        <w:rPr>
          <w:rFonts w:asciiTheme="minorHAnsi" w:hAnsiTheme="minorHAnsi" w:cstheme="minorHAnsi"/>
          <w:sz w:val="22"/>
          <w:szCs w:val="22"/>
        </w:rPr>
        <w:t xml:space="preserve">achieves 200-Gb/s data rate </w:t>
      </w:r>
      <w:r>
        <w:rPr>
          <w:rFonts w:asciiTheme="minorHAnsi" w:hAnsiTheme="minorHAnsi" w:cstheme="minorHAnsi"/>
          <w:sz w:val="22"/>
          <w:szCs w:val="22"/>
        </w:rPr>
        <w:t>(</w:t>
      </w:r>
      <w:r w:rsidR="003312E7" w:rsidRPr="005B752F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>-</w:t>
      </w:r>
      <w:r w:rsidR="003312E7" w:rsidRPr="005B752F">
        <w:rPr>
          <w:rFonts w:asciiTheme="minorHAnsi" w:hAnsiTheme="minorHAnsi" w:cstheme="minorHAnsi"/>
          <w:sz w:val="22"/>
          <w:szCs w:val="22"/>
        </w:rPr>
        <w:t>QAM</w:t>
      </w:r>
      <w:r>
        <w:rPr>
          <w:rFonts w:asciiTheme="minorHAnsi" w:hAnsiTheme="minorHAnsi" w:cstheme="minorHAnsi"/>
          <w:sz w:val="22"/>
          <w:szCs w:val="22"/>
        </w:rPr>
        <w:t xml:space="preserve"> mode)</w:t>
      </w:r>
      <w:r w:rsidR="003312E7" w:rsidRPr="005B752F">
        <w:rPr>
          <w:rFonts w:asciiTheme="minorHAnsi" w:hAnsiTheme="minorHAnsi" w:cstheme="minorHAnsi"/>
          <w:sz w:val="22"/>
          <w:szCs w:val="22"/>
        </w:rPr>
        <w:t xml:space="preserve"> in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3312E7" w:rsidRPr="005B752F">
        <w:rPr>
          <w:rFonts w:asciiTheme="minorHAnsi" w:hAnsiTheme="minorHAnsi" w:cstheme="minorHAnsi"/>
          <w:sz w:val="22"/>
          <w:szCs w:val="22"/>
        </w:rPr>
        <w:t xml:space="preserve">single-input single-output </w:t>
      </w:r>
      <w:r>
        <w:rPr>
          <w:rFonts w:asciiTheme="minorHAnsi" w:hAnsiTheme="minorHAnsi" w:cstheme="minorHAnsi"/>
          <w:sz w:val="22"/>
          <w:szCs w:val="22"/>
        </w:rPr>
        <w:t xml:space="preserve">(SISO) </w:t>
      </w:r>
      <w:r w:rsidR="003312E7" w:rsidRPr="005B752F">
        <w:rPr>
          <w:rFonts w:asciiTheme="minorHAnsi" w:hAnsiTheme="minorHAnsi" w:cstheme="minorHAnsi"/>
          <w:sz w:val="22"/>
          <w:szCs w:val="22"/>
        </w:rPr>
        <w:t>over-the-air</w:t>
      </w:r>
      <w:r>
        <w:rPr>
          <w:rFonts w:asciiTheme="minorHAnsi" w:hAnsiTheme="minorHAnsi" w:cstheme="minorHAnsi"/>
          <w:sz w:val="22"/>
          <w:szCs w:val="22"/>
        </w:rPr>
        <w:t xml:space="preserve"> measurement and </w:t>
      </w:r>
      <w:r w:rsidR="003312E7" w:rsidRPr="005B752F">
        <w:rPr>
          <w:rFonts w:asciiTheme="minorHAnsi" w:hAnsiTheme="minorHAnsi" w:cstheme="minorHAnsi"/>
          <w:sz w:val="22"/>
          <w:szCs w:val="22"/>
        </w:rPr>
        <w:t xml:space="preserve">120-Gb/s data rate </w:t>
      </w:r>
      <w:r>
        <w:rPr>
          <w:rFonts w:asciiTheme="minorHAnsi" w:hAnsiTheme="minorHAnsi" w:cstheme="minorHAnsi"/>
          <w:sz w:val="22"/>
          <w:szCs w:val="22"/>
        </w:rPr>
        <w:t>(</w:t>
      </w:r>
      <w:r w:rsidR="003312E7" w:rsidRPr="005B752F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>-</w:t>
      </w:r>
      <w:r w:rsidR="003312E7" w:rsidRPr="005B752F">
        <w:rPr>
          <w:rFonts w:asciiTheme="minorHAnsi" w:hAnsiTheme="minorHAnsi" w:cstheme="minorHAnsi"/>
          <w:sz w:val="22"/>
          <w:szCs w:val="22"/>
        </w:rPr>
        <w:t>QAM</w:t>
      </w:r>
      <w:r>
        <w:rPr>
          <w:rFonts w:asciiTheme="minorHAnsi" w:hAnsiTheme="minorHAnsi" w:cstheme="minorHAnsi"/>
          <w:sz w:val="22"/>
          <w:szCs w:val="22"/>
        </w:rPr>
        <w:t xml:space="preserve"> mode)</w:t>
      </w:r>
      <w:r w:rsidR="003312E7" w:rsidRPr="005B75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over</w:t>
      </w:r>
      <w:r w:rsidR="003312E7" w:rsidRPr="005B752F">
        <w:rPr>
          <w:rFonts w:asciiTheme="minorHAnsi" w:hAnsiTheme="minorHAnsi" w:cstheme="minorHAnsi"/>
          <w:sz w:val="22"/>
          <w:szCs w:val="22"/>
        </w:rPr>
        <w:t xml:space="preserve"> a 15</w:t>
      </w:r>
      <w:r>
        <w:rPr>
          <w:rFonts w:asciiTheme="minorHAnsi" w:hAnsiTheme="minorHAnsi" w:cstheme="minorHAnsi"/>
          <w:sz w:val="22"/>
          <w:szCs w:val="22"/>
        </w:rPr>
        <w:t>-</w:t>
      </w:r>
      <w:r w:rsidR="003312E7" w:rsidRPr="005B752F">
        <w:rPr>
          <w:rFonts w:asciiTheme="minorHAnsi" w:hAnsiTheme="minorHAnsi" w:cstheme="minorHAnsi"/>
          <w:sz w:val="22"/>
          <w:szCs w:val="22"/>
        </w:rPr>
        <w:t xml:space="preserve">m distance. </w:t>
      </w:r>
      <w:r>
        <w:rPr>
          <w:rFonts w:asciiTheme="minorHAnsi" w:hAnsiTheme="minorHAnsi" w:cstheme="minorHAnsi"/>
          <w:sz w:val="22"/>
          <w:szCs w:val="22"/>
        </w:rPr>
        <w:t xml:space="preserve">This work also demonstrates </w:t>
      </w:r>
      <w:r w:rsidR="003312E7" w:rsidRPr="005B752F">
        <w:rPr>
          <w:rFonts w:asciiTheme="minorHAnsi" w:hAnsiTheme="minorHAnsi" w:cstheme="minorHAnsi"/>
          <w:sz w:val="22"/>
          <w:szCs w:val="22"/>
        </w:rPr>
        <w:t>640-Gb/s 4</w:t>
      </w:r>
      <w:r w:rsidR="003312E7" w:rsidRPr="005B752F">
        <w:rPr>
          <w:rFonts w:asciiTheme="minorHAnsi" w:hAnsiTheme="minorHAnsi" w:cstheme="minorHAnsi" w:hint="eastAsia"/>
          <w:sz w:val="22"/>
          <w:szCs w:val="22"/>
        </w:rPr>
        <w:t>×</w:t>
      </w:r>
      <w:r w:rsidR="003312E7" w:rsidRPr="005B752F">
        <w:rPr>
          <w:rFonts w:asciiTheme="minorHAnsi" w:hAnsiTheme="minorHAnsi" w:cstheme="minorHAnsi"/>
          <w:sz w:val="22"/>
          <w:szCs w:val="22"/>
        </w:rPr>
        <w:t xml:space="preserve">4 multi-input multi-output </w:t>
      </w:r>
      <w:r>
        <w:rPr>
          <w:rFonts w:asciiTheme="minorHAnsi" w:hAnsiTheme="minorHAnsi" w:cstheme="minorHAnsi"/>
          <w:sz w:val="22"/>
          <w:szCs w:val="22"/>
        </w:rPr>
        <w:t>(MIMO) operation</w:t>
      </w:r>
      <w:r w:rsidR="003312E7" w:rsidRPr="005B752F">
        <w:rPr>
          <w:rFonts w:asciiTheme="minorHAnsi" w:hAnsiTheme="minorHAnsi" w:cstheme="minorHAnsi"/>
          <w:sz w:val="22"/>
          <w:szCs w:val="22"/>
        </w:rPr>
        <w:t>.</w:t>
      </w:r>
    </w:p>
    <w:p w14:paraId="68882CB7" w14:textId="77777777" w:rsidR="00C420CC" w:rsidRDefault="00C420CC" w:rsidP="00C420CC"/>
    <w:p w14:paraId="64CF7B14" w14:textId="77777777" w:rsidR="00C420CC" w:rsidRDefault="00C420CC" w:rsidP="00C420CC"/>
    <w:p w14:paraId="642C8090" w14:textId="19C741C4" w:rsidR="00C420CC" w:rsidRDefault="00C420CC" w:rsidP="00C420CC">
      <w:pPr>
        <w:jc w:val="center"/>
      </w:pPr>
      <w:r>
        <w:t>###</w:t>
      </w:r>
    </w:p>
    <w:sectPr w:rsidR="00C420CC" w:rsidSect="00E40B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FD30" w14:textId="77777777" w:rsidR="0020235E" w:rsidRDefault="0020235E" w:rsidP="00D95F43">
      <w:pPr>
        <w:spacing w:line="240" w:lineRule="auto"/>
      </w:pPr>
      <w:r>
        <w:separator/>
      </w:r>
    </w:p>
  </w:endnote>
  <w:endnote w:type="continuationSeparator" w:id="0">
    <w:p w14:paraId="0B41831C" w14:textId="77777777" w:rsidR="0020235E" w:rsidRDefault="0020235E" w:rsidP="00D95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1D1B" w14:textId="77777777" w:rsidR="0020235E" w:rsidRDefault="0020235E" w:rsidP="00D95F43">
      <w:pPr>
        <w:spacing w:line="240" w:lineRule="auto"/>
      </w:pPr>
      <w:r>
        <w:separator/>
      </w:r>
    </w:p>
  </w:footnote>
  <w:footnote w:type="continuationSeparator" w:id="0">
    <w:p w14:paraId="4F440038" w14:textId="77777777" w:rsidR="0020235E" w:rsidRDefault="0020235E" w:rsidP="00D95F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Ver" w:val="ᕅᕀᕂ"/>
    <w:docVar w:name="CheckSum" w:val="ᕆᕅᕄᕉ!ᕇᕊᕉᕈ!ᕇᕊᕉᕈ"/>
    <w:docVar w:name="CLIName" w:val="ᕧᖀᕕᕾᕳᖅᖅᕻᕸᕻᕷᕶ!ᕧᖀᕕᕾᕳᖅᖅᕻᕸᕻᕷᕶ!ᕧᖀᕕᕾᕳᖅᖅᕻᕸᕻᕷᕶ"/>
    <w:docVar w:name="DateTime" w:val="ᕃᕁᕄᕋᕁᕄᕂᕄᕂᔲᔲᕃᕈᕌᕃᕆᔲᔺᕙᕟᕦᔽᕃᕌᕂᔻ!ᕅᕁᕄᕊᕁᕄᕂᕄᕆᔲᔲᕃᕆᕌᕅᕉᔲᔺᕙᕟᕦᔽᕃᕌᕂᔻ!ᕅᕁᕄᕊᕁᕄᕂᕄᕆᔲᔲᕃᕆᕌᕅᕉᔲᔺᕙᕟᕦᔽᕃᕌᕂᔻ"/>
    <w:docVar w:name="DoneBy" w:val="ᕥᕦᕮᖆᕳᖇᕸᖁᖇᖄᖈ!ᕭᕧᖀᕕᕾᕳᖅᖅᕻᕸᕻᕷᕶᕯᔲᕐᔲᕓᕛᕢᔲᕺᕳᖀᕶᖁᖈᕷᖄ!ᕭᕧᖀᕕᕾᕳᖅᖅᕻᕸᕻᕷᕶᕯᔲᕐᔲᕓᕛᕢᔲᕺᕳᖀᕶᖁᖈᕷᖄ"/>
    <w:docVar w:name="IPAddress" w:val="ᕙᕠᕔᕕᕩᕞᕃᕋᕆᕂ!ᕕᕤᕡᕕᕩᕞᕃᕈᕃᕋᕅ!ᕕᕤᕡᕕᕩᕞᕃᕈᕃᕋᕅ"/>
    <w:docVar w:name="Random" w:val="18"/>
  </w:docVars>
  <w:rsids>
    <w:rsidRoot w:val="003F42B1"/>
    <w:rsid w:val="00000844"/>
    <w:rsid w:val="0002647A"/>
    <w:rsid w:val="00027EE7"/>
    <w:rsid w:val="00037DBF"/>
    <w:rsid w:val="000417D1"/>
    <w:rsid w:val="00044BA8"/>
    <w:rsid w:val="00052634"/>
    <w:rsid w:val="000529A0"/>
    <w:rsid w:val="00056093"/>
    <w:rsid w:val="0006672E"/>
    <w:rsid w:val="00073214"/>
    <w:rsid w:val="00073269"/>
    <w:rsid w:val="00090050"/>
    <w:rsid w:val="000903AF"/>
    <w:rsid w:val="0009173D"/>
    <w:rsid w:val="000A0967"/>
    <w:rsid w:val="000C6BD8"/>
    <w:rsid w:val="000D73CB"/>
    <w:rsid w:val="000E1F7D"/>
    <w:rsid w:val="000F7E52"/>
    <w:rsid w:val="001005C3"/>
    <w:rsid w:val="00107394"/>
    <w:rsid w:val="0011791B"/>
    <w:rsid w:val="00120E7E"/>
    <w:rsid w:val="00130394"/>
    <w:rsid w:val="001506CF"/>
    <w:rsid w:val="001561D5"/>
    <w:rsid w:val="0016340F"/>
    <w:rsid w:val="00172055"/>
    <w:rsid w:val="001729D8"/>
    <w:rsid w:val="00173FF8"/>
    <w:rsid w:val="001A3C01"/>
    <w:rsid w:val="001B1E7E"/>
    <w:rsid w:val="001B34A8"/>
    <w:rsid w:val="001C703C"/>
    <w:rsid w:val="001E73D1"/>
    <w:rsid w:val="0020235E"/>
    <w:rsid w:val="002038A9"/>
    <w:rsid w:val="00213F2C"/>
    <w:rsid w:val="00220CA2"/>
    <w:rsid w:val="00225EF9"/>
    <w:rsid w:val="002468CC"/>
    <w:rsid w:val="00247B4B"/>
    <w:rsid w:val="002518A1"/>
    <w:rsid w:val="002519C8"/>
    <w:rsid w:val="00253F64"/>
    <w:rsid w:val="00254805"/>
    <w:rsid w:val="0026081D"/>
    <w:rsid w:val="0026458E"/>
    <w:rsid w:val="00276FE3"/>
    <w:rsid w:val="00277CB2"/>
    <w:rsid w:val="00293341"/>
    <w:rsid w:val="002B1C80"/>
    <w:rsid w:val="002B1E6E"/>
    <w:rsid w:val="002C2796"/>
    <w:rsid w:val="002D31C6"/>
    <w:rsid w:val="002D5EC1"/>
    <w:rsid w:val="002E5C57"/>
    <w:rsid w:val="002F28CA"/>
    <w:rsid w:val="002F3258"/>
    <w:rsid w:val="002F32FF"/>
    <w:rsid w:val="002F4B34"/>
    <w:rsid w:val="00302E70"/>
    <w:rsid w:val="00307F47"/>
    <w:rsid w:val="00312DEB"/>
    <w:rsid w:val="003312E7"/>
    <w:rsid w:val="003319E4"/>
    <w:rsid w:val="00341DFA"/>
    <w:rsid w:val="0034752F"/>
    <w:rsid w:val="00347E0D"/>
    <w:rsid w:val="00355FD8"/>
    <w:rsid w:val="003568F3"/>
    <w:rsid w:val="003675E9"/>
    <w:rsid w:val="00380EFB"/>
    <w:rsid w:val="003851AE"/>
    <w:rsid w:val="003A49AF"/>
    <w:rsid w:val="003C6379"/>
    <w:rsid w:val="003D0187"/>
    <w:rsid w:val="003D1582"/>
    <w:rsid w:val="003E0169"/>
    <w:rsid w:val="003F1B7B"/>
    <w:rsid w:val="003F42B1"/>
    <w:rsid w:val="00401514"/>
    <w:rsid w:val="00410B1A"/>
    <w:rsid w:val="00435ADE"/>
    <w:rsid w:val="00444D0C"/>
    <w:rsid w:val="00456620"/>
    <w:rsid w:val="00456A1B"/>
    <w:rsid w:val="00462199"/>
    <w:rsid w:val="004628E9"/>
    <w:rsid w:val="00466B13"/>
    <w:rsid w:val="004A539D"/>
    <w:rsid w:val="004E7595"/>
    <w:rsid w:val="004F2D1A"/>
    <w:rsid w:val="00507845"/>
    <w:rsid w:val="00531327"/>
    <w:rsid w:val="0055555A"/>
    <w:rsid w:val="00565D29"/>
    <w:rsid w:val="00570197"/>
    <w:rsid w:val="005857AD"/>
    <w:rsid w:val="00590087"/>
    <w:rsid w:val="00591B39"/>
    <w:rsid w:val="00591B42"/>
    <w:rsid w:val="005932DE"/>
    <w:rsid w:val="00593DBA"/>
    <w:rsid w:val="005A214F"/>
    <w:rsid w:val="005A260F"/>
    <w:rsid w:val="005B14A6"/>
    <w:rsid w:val="005B5193"/>
    <w:rsid w:val="005B752F"/>
    <w:rsid w:val="005D347E"/>
    <w:rsid w:val="005F2D82"/>
    <w:rsid w:val="005F6BF0"/>
    <w:rsid w:val="00603BB0"/>
    <w:rsid w:val="00604EB4"/>
    <w:rsid w:val="00606DE8"/>
    <w:rsid w:val="00610D2C"/>
    <w:rsid w:val="006171A2"/>
    <w:rsid w:val="006175C5"/>
    <w:rsid w:val="0062147D"/>
    <w:rsid w:val="0062173A"/>
    <w:rsid w:val="00625430"/>
    <w:rsid w:val="00632D0C"/>
    <w:rsid w:val="00645B91"/>
    <w:rsid w:val="00653C55"/>
    <w:rsid w:val="0065662F"/>
    <w:rsid w:val="00657CB2"/>
    <w:rsid w:val="00675BB9"/>
    <w:rsid w:val="0068593F"/>
    <w:rsid w:val="0069501C"/>
    <w:rsid w:val="00695433"/>
    <w:rsid w:val="00696EDC"/>
    <w:rsid w:val="006A0B64"/>
    <w:rsid w:val="006A47A6"/>
    <w:rsid w:val="006B2A10"/>
    <w:rsid w:val="006B6320"/>
    <w:rsid w:val="006C1372"/>
    <w:rsid w:val="006D7764"/>
    <w:rsid w:val="00706EA9"/>
    <w:rsid w:val="00716A73"/>
    <w:rsid w:val="00723711"/>
    <w:rsid w:val="00724D55"/>
    <w:rsid w:val="00734C86"/>
    <w:rsid w:val="00765DFB"/>
    <w:rsid w:val="00770CF5"/>
    <w:rsid w:val="007852AB"/>
    <w:rsid w:val="00792E1C"/>
    <w:rsid w:val="007A49CA"/>
    <w:rsid w:val="007C560B"/>
    <w:rsid w:val="007C728E"/>
    <w:rsid w:val="007D7AAD"/>
    <w:rsid w:val="007E2154"/>
    <w:rsid w:val="007E39CB"/>
    <w:rsid w:val="007F399B"/>
    <w:rsid w:val="007F5119"/>
    <w:rsid w:val="00802C2D"/>
    <w:rsid w:val="00807CE1"/>
    <w:rsid w:val="00825F34"/>
    <w:rsid w:val="00835A15"/>
    <w:rsid w:val="00837551"/>
    <w:rsid w:val="00840903"/>
    <w:rsid w:val="0084422B"/>
    <w:rsid w:val="00851966"/>
    <w:rsid w:val="008901C7"/>
    <w:rsid w:val="008907EC"/>
    <w:rsid w:val="008A4472"/>
    <w:rsid w:val="008B2E81"/>
    <w:rsid w:val="008D1095"/>
    <w:rsid w:val="008E73B0"/>
    <w:rsid w:val="00900222"/>
    <w:rsid w:val="009056B0"/>
    <w:rsid w:val="009128CC"/>
    <w:rsid w:val="00915895"/>
    <w:rsid w:val="009271CB"/>
    <w:rsid w:val="00940A4A"/>
    <w:rsid w:val="009450FB"/>
    <w:rsid w:val="00952F22"/>
    <w:rsid w:val="00955F2D"/>
    <w:rsid w:val="00956BF2"/>
    <w:rsid w:val="00960D4A"/>
    <w:rsid w:val="00961708"/>
    <w:rsid w:val="00963998"/>
    <w:rsid w:val="00973B92"/>
    <w:rsid w:val="00990242"/>
    <w:rsid w:val="009905F5"/>
    <w:rsid w:val="009B3964"/>
    <w:rsid w:val="009C4F38"/>
    <w:rsid w:val="009C7B99"/>
    <w:rsid w:val="009D38A3"/>
    <w:rsid w:val="009E0904"/>
    <w:rsid w:val="009E557E"/>
    <w:rsid w:val="009F1C7E"/>
    <w:rsid w:val="00A0594D"/>
    <w:rsid w:val="00A06941"/>
    <w:rsid w:val="00A07AA2"/>
    <w:rsid w:val="00A1265C"/>
    <w:rsid w:val="00A24F14"/>
    <w:rsid w:val="00A306FA"/>
    <w:rsid w:val="00A31571"/>
    <w:rsid w:val="00A322C6"/>
    <w:rsid w:val="00A35224"/>
    <w:rsid w:val="00A35A2B"/>
    <w:rsid w:val="00A60954"/>
    <w:rsid w:val="00A60D4C"/>
    <w:rsid w:val="00A60E4C"/>
    <w:rsid w:val="00A917BA"/>
    <w:rsid w:val="00A9732E"/>
    <w:rsid w:val="00AA1F4B"/>
    <w:rsid w:val="00AB2FC2"/>
    <w:rsid w:val="00AB2FD9"/>
    <w:rsid w:val="00AB334A"/>
    <w:rsid w:val="00AB5118"/>
    <w:rsid w:val="00AD1D04"/>
    <w:rsid w:val="00AE0338"/>
    <w:rsid w:val="00AE2A98"/>
    <w:rsid w:val="00AF284D"/>
    <w:rsid w:val="00B04485"/>
    <w:rsid w:val="00B24F24"/>
    <w:rsid w:val="00B2554A"/>
    <w:rsid w:val="00B26291"/>
    <w:rsid w:val="00B30A35"/>
    <w:rsid w:val="00B37AE1"/>
    <w:rsid w:val="00B50DD9"/>
    <w:rsid w:val="00B6228A"/>
    <w:rsid w:val="00B826A9"/>
    <w:rsid w:val="00B926CA"/>
    <w:rsid w:val="00BA5DE1"/>
    <w:rsid w:val="00BC1ACF"/>
    <w:rsid w:val="00BD15EF"/>
    <w:rsid w:val="00BD7722"/>
    <w:rsid w:val="00BE5709"/>
    <w:rsid w:val="00BE5F99"/>
    <w:rsid w:val="00BF042B"/>
    <w:rsid w:val="00C14C97"/>
    <w:rsid w:val="00C15097"/>
    <w:rsid w:val="00C152AC"/>
    <w:rsid w:val="00C1640F"/>
    <w:rsid w:val="00C37BBD"/>
    <w:rsid w:val="00C40B1A"/>
    <w:rsid w:val="00C41895"/>
    <w:rsid w:val="00C420CC"/>
    <w:rsid w:val="00C53532"/>
    <w:rsid w:val="00C55CE4"/>
    <w:rsid w:val="00C60AFE"/>
    <w:rsid w:val="00C70BA5"/>
    <w:rsid w:val="00C75641"/>
    <w:rsid w:val="00C7709A"/>
    <w:rsid w:val="00C81EC6"/>
    <w:rsid w:val="00C9578F"/>
    <w:rsid w:val="00CA1D4E"/>
    <w:rsid w:val="00CA26D4"/>
    <w:rsid w:val="00CA5E6B"/>
    <w:rsid w:val="00CA6F19"/>
    <w:rsid w:val="00CC2389"/>
    <w:rsid w:val="00CC589F"/>
    <w:rsid w:val="00CD25B9"/>
    <w:rsid w:val="00CD5A30"/>
    <w:rsid w:val="00CD5EBC"/>
    <w:rsid w:val="00CD6496"/>
    <w:rsid w:val="00CE1F47"/>
    <w:rsid w:val="00CF530E"/>
    <w:rsid w:val="00CF6B4A"/>
    <w:rsid w:val="00D02A9B"/>
    <w:rsid w:val="00D061E4"/>
    <w:rsid w:val="00D11E52"/>
    <w:rsid w:val="00D15E78"/>
    <w:rsid w:val="00D22B04"/>
    <w:rsid w:val="00D75F9F"/>
    <w:rsid w:val="00D91CDD"/>
    <w:rsid w:val="00D95F43"/>
    <w:rsid w:val="00D96B74"/>
    <w:rsid w:val="00DB4CB0"/>
    <w:rsid w:val="00DC50F8"/>
    <w:rsid w:val="00DD039B"/>
    <w:rsid w:val="00DD34F5"/>
    <w:rsid w:val="00DD52CD"/>
    <w:rsid w:val="00DE7125"/>
    <w:rsid w:val="00DF165E"/>
    <w:rsid w:val="00DF2387"/>
    <w:rsid w:val="00DF452A"/>
    <w:rsid w:val="00DF7C30"/>
    <w:rsid w:val="00E14186"/>
    <w:rsid w:val="00E17233"/>
    <w:rsid w:val="00E2114D"/>
    <w:rsid w:val="00E40BA8"/>
    <w:rsid w:val="00E520C7"/>
    <w:rsid w:val="00E53077"/>
    <w:rsid w:val="00E81A01"/>
    <w:rsid w:val="00E83210"/>
    <w:rsid w:val="00E952FB"/>
    <w:rsid w:val="00E956A8"/>
    <w:rsid w:val="00EA1E34"/>
    <w:rsid w:val="00EA637F"/>
    <w:rsid w:val="00EB1A3F"/>
    <w:rsid w:val="00EB1BF4"/>
    <w:rsid w:val="00EB4B03"/>
    <w:rsid w:val="00EB78CF"/>
    <w:rsid w:val="00EC0DC8"/>
    <w:rsid w:val="00EC3E0F"/>
    <w:rsid w:val="00EC5BBC"/>
    <w:rsid w:val="00EE4039"/>
    <w:rsid w:val="00EF2986"/>
    <w:rsid w:val="00F1636F"/>
    <w:rsid w:val="00F16BE0"/>
    <w:rsid w:val="00F3560A"/>
    <w:rsid w:val="00F37B0D"/>
    <w:rsid w:val="00F4722D"/>
    <w:rsid w:val="00F60D62"/>
    <w:rsid w:val="00F71E58"/>
    <w:rsid w:val="00F76C7D"/>
    <w:rsid w:val="00F876F3"/>
    <w:rsid w:val="00F877F7"/>
    <w:rsid w:val="00F9044B"/>
    <w:rsid w:val="00F93648"/>
    <w:rsid w:val="00FA41B3"/>
    <w:rsid w:val="00FD1246"/>
    <w:rsid w:val="00FD3AD3"/>
    <w:rsid w:val="00FE0407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57F5E"/>
  <w15:chartTrackingRefBased/>
  <w15:docId w15:val="{124200EB-30EB-46F9-95B9-B5F0CD6E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2052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95F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B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F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3234B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2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21A3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2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21A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2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21A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2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0866DB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2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0866DB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2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05408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2B1"/>
    <w:pPr>
      <w:keepNext/>
      <w:keepLines/>
      <w:outlineLvl w:val="8"/>
    </w:pPr>
    <w:rPr>
      <w:rFonts w:asciiTheme="minorHAnsi" w:eastAsiaTheme="majorEastAsia" w:hAnsiTheme="minorHAnsi" w:cstheme="majorBidi"/>
      <w:color w:val="05408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F43"/>
    <w:rPr>
      <w:rFonts w:asciiTheme="majorHAnsi" w:eastAsiaTheme="majorEastAsia" w:hAnsiTheme="majorHAnsi" w:cstheme="majorBidi"/>
      <w:color w:val="03234B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5F43"/>
    <w:rPr>
      <w:rFonts w:asciiTheme="majorHAnsi" w:eastAsiaTheme="majorEastAsia" w:hAnsiTheme="majorHAnsi" w:cstheme="majorBidi"/>
      <w:color w:val="03234B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95F43"/>
    <w:pPr>
      <w:spacing w:line="240" w:lineRule="auto"/>
      <w:contextualSpacing/>
    </w:pPr>
    <w:rPr>
      <w:rFonts w:asciiTheme="majorHAnsi" w:eastAsiaTheme="majorEastAsia" w:hAnsiTheme="majorHAnsi" w:cstheme="majorBidi"/>
      <w:color w:val="03234B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F43"/>
    <w:rPr>
      <w:rFonts w:asciiTheme="majorHAnsi" w:eastAsiaTheme="majorEastAsia" w:hAnsiTheme="majorHAnsi" w:cstheme="majorBidi"/>
      <w:color w:val="03234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F43"/>
    <w:pPr>
      <w:numPr>
        <w:ilvl w:val="1"/>
      </w:numPr>
      <w:spacing w:after="160"/>
    </w:pPr>
    <w:rPr>
      <w:rFonts w:asciiTheme="minorHAnsi" w:eastAsiaTheme="minorEastAsia" w:hAnsiTheme="minorHAnsi"/>
      <w:color w:val="03234B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5F43"/>
    <w:rPr>
      <w:rFonts w:asciiTheme="minorHAnsi" w:eastAsiaTheme="minorEastAsia" w:hAnsiTheme="minorHAnsi"/>
      <w:color w:val="03234B" w:themeColor="text1"/>
      <w:spacing w:val="15"/>
    </w:rPr>
  </w:style>
  <w:style w:type="character" w:styleId="Strong">
    <w:name w:val="Strong"/>
    <w:basedOn w:val="DefaultParagraphFont"/>
    <w:uiPriority w:val="22"/>
    <w:qFormat/>
    <w:rsid w:val="00D95F43"/>
    <w:rPr>
      <w:b/>
      <w:bCs/>
      <w:color w:val="03234B" w:themeColor="text1"/>
    </w:rPr>
  </w:style>
  <w:style w:type="character" w:styleId="Emphasis">
    <w:name w:val="Emphasis"/>
    <w:basedOn w:val="DefaultParagraphFont"/>
    <w:uiPriority w:val="20"/>
    <w:qFormat/>
    <w:rsid w:val="00D95F43"/>
    <w:rPr>
      <w:i/>
      <w:iCs/>
      <w:color w:val="E6007E" w:themeColor="accent2"/>
    </w:rPr>
  </w:style>
  <w:style w:type="paragraph" w:styleId="NoSpacing">
    <w:name w:val="No Spacing"/>
    <w:aliases w:val="ST body"/>
    <w:next w:val="Normal"/>
    <w:uiPriority w:val="1"/>
    <w:qFormat/>
    <w:rsid w:val="00CF6B4A"/>
    <w:pPr>
      <w:spacing w:line="360" w:lineRule="auto"/>
    </w:pPr>
    <w:rPr>
      <w:color w:val="03234B" w:themeColor="text1"/>
    </w:rPr>
  </w:style>
  <w:style w:type="paragraph" w:styleId="ListParagraph">
    <w:name w:val="List Paragraph"/>
    <w:basedOn w:val="Normal"/>
    <w:uiPriority w:val="34"/>
    <w:qFormat/>
    <w:rsid w:val="00D95F43"/>
    <w:pPr>
      <w:ind w:left="720"/>
      <w:contextualSpacing/>
    </w:pPr>
    <w:rPr>
      <w:color w:val="03234B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D95F43"/>
    <w:pPr>
      <w:spacing w:before="200" w:after="160"/>
      <w:ind w:left="864" w:right="864"/>
      <w:jc w:val="center"/>
    </w:pPr>
    <w:rPr>
      <w:i/>
      <w:iCs/>
      <w:color w:val="3CB4E6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D95F43"/>
    <w:rPr>
      <w:i/>
      <w:iCs/>
      <w:color w:val="3CB4E6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F43"/>
    <w:pPr>
      <w:pBdr>
        <w:top w:val="single" w:sz="4" w:space="10" w:color="03234B" w:themeColor="accent1"/>
        <w:bottom w:val="single" w:sz="4" w:space="10" w:color="03234B" w:themeColor="accent1"/>
      </w:pBdr>
      <w:spacing w:before="360" w:after="360"/>
      <w:ind w:left="864" w:right="864"/>
      <w:jc w:val="center"/>
    </w:pPr>
    <w:rPr>
      <w:i/>
      <w:iCs/>
      <w:color w:val="03234B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F43"/>
    <w:rPr>
      <w:i/>
      <w:iCs/>
      <w:color w:val="03234B" w:themeColor="text1"/>
    </w:rPr>
  </w:style>
  <w:style w:type="character" w:styleId="SubtleEmphasis">
    <w:name w:val="Subtle Emphasis"/>
    <w:basedOn w:val="DefaultParagraphFont"/>
    <w:uiPriority w:val="19"/>
    <w:qFormat/>
    <w:rsid w:val="00D95F43"/>
    <w:rPr>
      <w:i/>
      <w:iCs/>
      <w:color w:val="3CB4E6" w:themeColor="accent3"/>
    </w:rPr>
  </w:style>
  <w:style w:type="character" w:styleId="IntenseEmphasis">
    <w:name w:val="Intense Emphasis"/>
    <w:basedOn w:val="DefaultParagraphFont"/>
    <w:uiPriority w:val="21"/>
    <w:qFormat/>
    <w:rsid w:val="00D95F43"/>
    <w:rPr>
      <w:i/>
      <w:iCs/>
      <w:color w:val="03234B" w:themeColor="text1"/>
    </w:rPr>
  </w:style>
  <w:style w:type="character" w:styleId="SubtleReference">
    <w:name w:val="Subtle Reference"/>
    <w:basedOn w:val="DefaultParagraphFont"/>
    <w:uiPriority w:val="31"/>
    <w:qFormat/>
    <w:rsid w:val="00D95F43"/>
    <w:rPr>
      <w:smallCaps/>
      <w:color w:val="3CB4E6" w:themeColor="accent3"/>
    </w:rPr>
  </w:style>
  <w:style w:type="character" w:styleId="IntenseReference">
    <w:name w:val="Intense Reference"/>
    <w:basedOn w:val="DefaultParagraphFont"/>
    <w:uiPriority w:val="32"/>
    <w:qFormat/>
    <w:rsid w:val="00D95F43"/>
    <w:rPr>
      <w:b/>
      <w:bCs/>
      <w:smallCaps/>
      <w:color w:val="03234B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D95F43"/>
    <w:rPr>
      <w:b/>
      <w:bCs/>
      <w:i/>
      <w:iCs/>
      <w:color w:val="03234B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5F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43"/>
  </w:style>
  <w:style w:type="paragraph" w:styleId="Footer">
    <w:name w:val="footer"/>
    <w:basedOn w:val="Normal"/>
    <w:link w:val="FooterChar"/>
    <w:uiPriority w:val="99"/>
    <w:unhideWhenUsed/>
    <w:rsid w:val="00D95F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43"/>
  </w:style>
  <w:style w:type="character" w:customStyle="1" w:styleId="Heading3Char">
    <w:name w:val="Heading 3 Char"/>
    <w:basedOn w:val="DefaultParagraphFont"/>
    <w:link w:val="Heading3"/>
    <w:uiPriority w:val="9"/>
    <w:rsid w:val="003F42B1"/>
    <w:rPr>
      <w:rFonts w:asciiTheme="minorHAnsi" w:eastAsiaTheme="majorEastAsia" w:hAnsiTheme="minorHAnsi" w:cstheme="majorBidi"/>
      <w:color w:val="021A3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2B1"/>
    <w:rPr>
      <w:rFonts w:asciiTheme="minorHAnsi" w:eastAsiaTheme="majorEastAsia" w:hAnsiTheme="minorHAnsi" w:cstheme="majorBidi"/>
      <w:i/>
      <w:iCs/>
      <w:color w:val="021A3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2B1"/>
    <w:rPr>
      <w:rFonts w:asciiTheme="minorHAnsi" w:eastAsiaTheme="majorEastAsia" w:hAnsiTheme="minorHAnsi" w:cstheme="majorBidi"/>
      <w:color w:val="021A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2B1"/>
    <w:rPr>
      <w:rFonts w:asciiTheme="minorHAnsi" w:eastAsiaTheme="majorEastAsia" w:hAnsiTheme="minorHAnsi" w:cstheme="majorBidi"/>
      <w:i/>
      <w:iCs/>
      <w:color w:val="0866DB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2B1"/>
    <w:rPr>
      <w:rFonts w:asciiTheme="minorHAnsi" w:eastAsiaTheme="majorEastAsia" w:hAnsiTheme="minorHAnsi" w:cstheme="majorBidi"/>
      <w:color w:val="0866DB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2B1"/>
    <w:rPr>
      <w:rFonts w:asciiTheme="minorHAnsi" w:eastAsiaTheme="majorEastAsia" w:hAnsiTheme="minorHAnsi" w:cstheme="majorBidi"/>
      <w:i/>
      <w:iCs/>
      <w:color w:val="05408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2B1"/>
    <w:rPr>
      <w:rFonts w:asciiTheme="minorHAnsi" w:eastAsiaTheme="majorEastAsia" w:hAnsiTheme="minorHAnsi" w:cstheme="majorBidi"/>
      <w:color w:val="05408A" w:themeColor="text1" w:themeTint="D8"/>
    </w:rPr>
  </w:style>
  <w:style w:type="table" w:styleId="TableGrid">
    <w:name w:val="Table Grid"/>
    <w:basedOn w:val="TableNormal"/>
    <w:uiPriority w:val="39"/>
    <w:rsid w:val="005900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7845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6B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TMicroelectronics 2020">
      <a:dk1>
        <a:srgbClr val="03234B"/>
      </a:dk1>
      <a:lt1>
        <a:srgbClr val="FFFFFF"/>
      </a:lt1>
      <a:dk2>
        <a:srgbClr val="464650"/>
      </a:dk2>
      <a:lt2>
        <a:srgbClr val="E8E8E9"/>
      </a:lt2>
      <a:accent1>
        <a:srgbClr val="03234B"/>
      </a:accent1>
      <a:accent2>
        <a:srgbClr val="E6007E"/>
      </a:accent2>
      <a:accent3>
        <a:srgbClr val="3CB4E6"/>
      </a:accent3>
      <a:accent4>
        <a:srgbClr val="FFD200"/>
      </a:accent4>
      <a:accent5>
        <a:srgbClr val="49B170"/>
      </a:accent5>
      <a:accent6>
        <a:srgbClr val="8C0078"/>
      </a:accent6>
      <a:hlink>
        <a:srgbClr val="03234B"/>
      </a:hlink>
      <a:folHlink>
        <a:srgbClr val="03234B"/>
      </a:folHlink>
    </a:clrScheme>
    <a:fontScheme name="STMicroelectronics 202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11AD5DA37A9458C2962493D7DC14B" ma:contentTypeVersion="13" ma:contentTypeDescription="Create a new document." ma:contentTypeScope="" ma:versionID="f864bb5674d80d70a838dc29a2d66eef">
  <xsd:schema xmlns:xsd="http://www.w3.org/2001/XMLSchema" xmlns:xs="http://www.w3.org/2001/XMLSchema" xmlns:p="http://schemas.microsoft.com/office/2006/metadata/properties" xmlns:ns3="f3053290-03f5-4abd-a502-4193d9a980c9" xmlns:ns4="109e6646-2a17-4c65-a606-79e019c3d0f9" targetNamespace="http://schemas.microsoft.com/office/2006/metadata/properties" ma:root="true" ma:fieldsID="c090818561f5719306ae599b8a0af89b" ns3:_="" ns4:_="">
    <xsd:import namespace="f3053290-03f5-4abd-a502-4193d9a980c9"/>
    <xsd:import namespace="109e6646-2a17-4c65-a606-79e019c3d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3290-03f5-4abd-a502-4193d9a98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e6646-2a17-4c65-a606-79e019c3d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80C53-3937-4D83-AD08-52D02F26A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459FA-93DE-4A3B-AE13-5D4117612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53290-03f5-4abd-a502-4193d9a980c9"/>
    <ds:schemaRef ds:uri="109e6646-2a17-4c65-a606-79e019c3d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B0126-2DBD-4312-A539-54B96EE1B5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8c7287-838c-46dd-b281-b1140229e67a}" enabled="1" method="Privileged" siteId="{75e027c9-20d5-47d5-b82f-77d7cd041e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STMicroelectronics</Company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ARNAUD</dc:creator>
  <cp:keywords>STMicroelectronics</cp:keywords>
  <dc:description/>
  <cp:lastModifiedBy>Melissa Sanders</cp:lastModifiedBy>
  <cp:revision>2</cp:revision>
  <cp:lastPrinted>2024-04-16T22:19:00Z</cp:lastPrinted>
  <dcterms:created xsi:type="dcterms:W3CDTF">2024-06-11T15:19:00Z</dcterms:created>
  <dcterms:modified xsi:type="dcterms:W3CDTF">2024-06-11T15:19:00Z</dcterms:modified>
</cp:coreProperties>
</file>